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023" w:rsidRDefault="004B0023">
      <w:pPr>
        <w:pStyle w:val="ConsPlusTitlePage"/>
      </w:pPr>
      <w:bookmarkStart w:id="0" w:name="_GoBack"/>
      <w:bookmarkEnd w:id="0"/>
      <w:r>
        <w:br/>
      </w:r>
    </w:p>
    <w:p w:rsidR="004B0023" w:rsidRDefault="004B0023">
      <w:pPr>
        <w:pStyle w:val="ConsPlusNormal"/>
        <w:jc w:val="both"/>
        <w:outlineLvl w:val="0"/>
      </w:pPr>
    </w:p>
    <w:p w:rsidR="004B0023" w:rsidRDefault="004B0023">
      <w:pPr>
        <w:pStyle w:val="ConsPlusNormal"/>
        <w:outlineLvl w:val="0"/>
      </w:pPr>
      <w:r>
        <w:t>Зарегистрировано в Минюсте России 13 августа 2021 г. N 64642</w:t>
      </w:r>
    </w:p>
    <w:p w:rsidR="004B0023" w:rsidRDefault="004B0023">
      <w:pPr>
        <w:pStyle w:val="ConsPlusNormal"/>
        <w:pBdr>
          <w:top w:val="single" w:sz="6" w:space="0" w:color="auto"/>
        </w:pBdr>
        <w:spacing w:before="100" w:after="100"/>
        <w:jc w:val="both"/>
        <w:rPr>
          <w:sz w:val="2"/>
          <w:szCs w:val="2"/>
        </w:rPr>
      </w:pPr>
    </w:p>
    <w:p w:rsidR="004B0023" w:rsidRDefault="004B0023">
      <w:pPr>
        <w:pStyle w:val="ConsPlusNormal"/>
        <w:jc w:val="both"/>
      </w:pPr>
    </w:p>
    <w:p w:rsidR="004B0023" w:rsidRDefault="004B0023">
      <w:pPr>
        <w:pStyle w:val="ConsPlusTitle"/>
        <w:jc w:val="center"/>
      </w:pPr>
      <w:r>
        <w:t>МИНИСТЕРСТВО СТРОИТЕЛЬСТВА И ЖИЛИЩНО-КОММУНАЛЬНОГО</w:t>
      </w:r>
    </w:p>
    <w:p w:rsidR="004B0023" w:rsidRDefault="004B0023">
      <w:pPr>
        <w:pStyle w:val="ConsPlusTitle"/>
        <w:jc w:val="center"/>
      </w:pPr>
      <w:r>
        <w:t>ХОЗЯЙСТВА РОССИЙСКОЙ ФЕДЕРАЦИИ</w:t>
      </w:r>
    </w:p>
    <w:p w:rsidR="004B0023" w:rsidRDefault="004B0023">
      <w:pPr>
        <w:pStyle w:val="ConsPlusTitle"/>
        <w:jc w:val="center"/>
      </w:pPr>
    </w:p>
    <w:p w:rsidR="004B0023" w:rsidRDefault="004B0023">
      <w:pPr>
        <w:pStyle w:val="ConsPlusTitle"/>
        <w:jc w:val="center"/>
      </w:pPr>
      <w:r>
        <w:t>ПРИКАЗ</w:t>
      </w:r>
    </w:p>
    <w:p w:rsidR="004B0023" w:rsidRDefault="004B0023">
      <w:pPr>
        <w:pStyle w:val="ConsPlusTitle"/>
        <w:jc w:val="center"/>
      </w:pPr>
      <w:r>
        <w:t>от 21 июля 2021 г. N 500/</w:t>
      </w:r>
      <w:proofErr w:type="spellStart"/>
      <w:r>
        <w:t>пр</w:t>
      </w:r>
      <w:proofErr w:type="spellEnd"/>
    </w:p>
    <w:p w:rsidR="004B0023" w:rsidRDefault="004B0023">
      <w:pPr>
        <w:pStyle w:val="ConsPlusTitle"/>
        <w:jc w:val="center"/>
      </w:pPr>
    </w:p>
    <w:p w:rsidR="004B0023" w:rsidRDefault="004B0023">
      <w:pPr>
        <w:pStyle w:val="ConsPlusTitle"/>
        <w:jc w:val="center"/>
      </w:pPr>
      <w:r>
        <w:t>О ВНЕСЕНИИ ИЗМЕНЕНИЙ</w:t>
      </w:r>
    </w:p>
    <w:p w:rsidR="004B0023" w:rsidRDefault="004B0023">
      <w:pPr>
        <w:pStyle w:val="ConsPlusTitle"/>
        <w:jc w:val="center"/>
      </w:pPr>
      <w:r>
        <w:t>В МЕТОДИКУ СОСТАВЛЕНИЯ СМЕТЫ КОНТРАКТА, ПРЕДМЕТОМ КОТОРОГО</w:t>
      </w:r>
    </w:p>
    <w:p w:rsidR="004B0023" w:rsidRDefault="004B0023">
      <w:pPr>
        <w:pStyle w:val="ConsPlusTitle"/>
        <w:jc w:val="center"/>
      </w:pPr>
      <w:r>
        <w:t>ЯВЛЯЮТСЯ СТРОИТЕЛЬСТВО, РЕКОНСТРУКЦИЯ ОБЪЕКТОВ КАПИТАЛЬНОГО</w:t>
      </w:r>
    </w:p>
    <w:p w:rsidR="004B0023" w:rsidRDefault="004B0023">
      <w:pPr>
        <w:pStyle w:val="ConsPlusTitle"/>
        <w:jc w:val="center"/>
      </w:pPr>
      <w:r>
        <w:t>СТРОИТЕЛЬСТВА, УТВЕРЖДЕННУЮ ПРИКАЗОМ МИНИСТЕРСТВА</w:t>
      </w:r>
    </w:p>
    <w:p w:rsidR="004B0023" w:rsidRDefault="004B0023">
      <w:pPr>
        <w:pStyle w:val="ConsPlusTitle"/>
        <w:jc w:val="center"/>
      </w:pPr>
      <w:r>
        <w:t>СТРОИТЕЛЬСТВА И ЖИЛИЩНО-КОММУНАЛЬНОГО ХОЗЯЙСТВА</w:t>
      </w:r>
    </w:p>
    <w:p w:rsidR="004B0023" w:rsidRDefault="004B0023">
      <w:pPr>
        <w:pStyle w:val="ConsPlusTitle"/>
        <w:jc w:val="center"/>
      </w:pPr>
      <w:r>
        <w:t>РОССИЙСКОЙ ФЕДЕРАЦИИ ОТ 23 ДЕКАБРЯ 2019 Г. N 841/ПР</w:t>
      </w:r>
    </w:p>
    <w:p w:rsidR="004B0023" w:rsidRDefault="004B0023">
      <w:pPr>
        <w:pStyle w:val="ConsPlusNormal"/>
        <w:jc w:val="both"/>
      </w:pPr>
    </w:p>
    <w:p w:rsidR="004B0023" w:rsidRDefault="004B0023">
      <w:pPr>
        <w:pStyle w:val="ConsPlusNormal"/>
        <w:ind w:firstLine="540"/>
        <w:jc w:val="both"/>
      </w:pPr>
      <w:r>
        <w:t>В соответствии с частью 7 статьи 110.2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3317), подпунктом 5.2.101.32 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2019, N 40, ст. 5560), и пунктом 1 постановления Правительства Российской Федерации от 11 сентября 2015 г. N 964 "О федеральном органе исполнительной власти, уполномоченном на установление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(Собрание законодательства Российской Федерации, 2015, N 38, ст. 5292; 2019, N 31, ст. 4641), приказываю:</w:t>
      </w:r>
    </w:p>
    <w:p w:rsidR="004B0023" w:rsidRDefault="004B0023">
      <w:pPr>
        <w:pStyle w:val="ConsPlusNormal"/>
        <w:spacing w:before="220"/>
        <w:ind w:firstLine="540"/>
        <w:jc w:val="both"/>
      </w:pPr>
      <w:r>
        <w:t>внести изменения в Методику составления сметы контракта, предметом которого являются строительство, реконструкция объектов капитального строительства, утвержденную приказом Министерства строительства и жилищно-коммунального хозяйства Российской Федерации от 23 декабря 2019 г. N 841/</w:t>
      </w:r>
      <w:proofErr w:type="spellStart"/>
      <w:r>
        <w:t>пр</w:t>
      </w:r>
      <w:proofErr w:type="spellEnd"/>
      <w:r>
        <w:t xml:space="preserve"> (зарегистрирован Министерством юстиции Российской Федерации 3 февраля 2020 г., регистрационный N 57401), согласно приложению к настоящему приказу.</w:t>
      </w:r>
    </w:p>
    <w:p w:rsidR="004B0023" w:rsidRDefault="004B0023">
      <w:pPr>
        <w:pStyle w:val="ConsPlusNormal"/>
        <w:ind w:firstLine="540"/>
        <w:jc w:val="both"/>
      </w:pPr>
    </w:p>
    <w:p w:rsidR="004B0023" w:rsidRDefault="004B0023">
      <w:pPr>
        <w:pStyle w:val="ConsPlusNormal"/>
        <w:jc w:val="right"/>
      </w:pPr>
      <w:r>
        <w:t>Министр</w:t>
      </w:r>
    </w:p>
    <w:p w:rsidR="004B0023" w:rsidRDefault="004B0023">
      <w:pPr>
        <w:pStyle w:val="ConsPlusNormal"/>
        <w:jc w:val="right"/>
      </w:pPr>
      <w:r>
        <w:t>И.Э.ФАЙЗУЛЛИН</w:t>
      </w:r>
    </w:p>
    <w:p w:rsidR="004B0023" w:rsidRDefault="004B0023">
      <w:pPr>
        <w:pStyle w:val="ConsPlusNormal"/>
        <w:ind w:firstLine="540"/>
        <w:jc w:val="both"/>
      </w:pPr>
    </w:p>
    <w:p w:rsidR="004B0023" w:rsidRDefault="004B0023">
      <w:pPr>
        <w:pStyle w:val="ConsPlusNormal"/>
        <w:ind w:firstLine="540"/>
        <w:jc w:val="both"/>
      </w:pPr>
    </w:p>
    <w:p w:rsidR="004B0023" w:rsidRDefault="004B0023">
      <w:pPr>
        <w:pStyle w:val="ConsPlusNormal"/>
        <w:ind w:firstLine="540"/>
        <w:jc w:val="both"/>
      </w:pPr>
    </w:p>
    <w:p w:rsidR="004B0023" w:rsidRDefault="004B0023">
      <w:pPr>
        <w:pStyle w:val="ConsPlusNormal"/>
        <w:ind w:firstLine="540"/>
        <w:jc w:val="both"/>
      </w:pPr>
    </w:p>
    <w:p w:rsidR="004B0023" w:rsidRDefault="004B0023">
      <w:pPr>
        <w:pStyle w:val="ConsPlusNormal"/>
        <w:ind w:firstLine="540"/>
        <w:jc w:val="both"/>
      </w:pPr>
    </w:p>
    <w:p w:rsidR="004B0023" w:rsidRDefault="004B0023">
      <w:pPr>
        <w:pStyle w:val="ConsPlusNormal"/>
        <w:jc w:val="right"/>
        <w:outlineLvl w:val="0"/>
      </w:pPr>
      <w:r>
        <w:t>Приложение</w:t>
      </w:r>
    </w:p>
    <w:p w:rsidR="004B0023" w:rsidRDefault="004B0023">
      <w:pPr>
        <w:pStyle w:val="ConsPlusNormal"/>
        <w:jc w:val="right"/>
      </w:pPr>
      <w:r>
        <w:t>к приказу Министерства строительства</w:t>
      </w:r>
    </w:p>
    <w:p w:rsidR="004B0023" w:rsidRDefault="004B0023">
      <w:pPr>
        <w:pStyle w:val="ConsPlusNormal"/>
        <w:jc w:val="right"/>
      </w:pPr>
      <w:r>
        <w:t>и жилищно-коммунального хозяйства</w:t>
      </w:r>
    </w:p>
    <w:p w:rsidR="004B0023" w:rsidRDefault="004B0023">
      <w:pPr>
        <w:pStyle w:val="ConsPlusNormal"/>
        <w:jc w:val="right"/>
      </w:pPr>
      <w:r>
        <w:t>Российской Федерации</w:t>
      </w:r>
    </w:p>
    <w:p w:rsidR="004B0023" w:rsidRDefault="004B0023">
      <w:pPr>
        <w:pStyle w:val="ConsPlusNormal"/>
        <w:jc w:val="right"/>
      </w:pPr>
      <w:r>
        <w:t>от 21 июля 2021 г. N 500/</w:t>
      </w:r>
      <w:proofErr w:type="spellStart"/>
      <w:r>
        <w:t>пр</w:t>
      </w:r>
      <w:proofErr w:type="spellEnd"/>
    </w:p>
    <w:p w:rsidR="004B0023" w:rsidRDefault="004B0023">
      <w:pPr>
        <w:pStyle w:val="ConsPlusNormal"/>
        <w:jc w:val="both"/>
      </w:pPr>
    </w:p>
    <w:p w:rsidR="004B0023" w:rsidRDefault="004B0023">
      <w:pPr>
        <w:pStyle w:val="ConsPlusTitle"/>
        <w:jc w:val="center"/>
      </w:pPr>
      <w:bookmarkStart w:id="1" w:name="P33"/>
      <w:bookmarkEnd w:id="1"/>
      <w:r>
        <w:t>ИЗМЕНЕНИЯ,</w:t>
      </w:r>
    </w:p>
    <w:p w:rsidR="004B0023" w:rsidRDefault="004B0023">
      <w:pPr>
        <w:pStyle w:val="ConsPlusTitle"/>
        <w:jc w:val="center"/>
      </w:pPr>
      <w:r>
        <w:lastRenderedPageBreak/>
        <w:t>КОТОРЫЕ ВНОСЯТСЯ В МЕТОДИКУ СОСТАВЛЕНИЯ СМЕТЫ</w:t>
      </w:r>
    </w:p>
    <w:p w:rsidR="004B0023" w:rsidRDefault="004B0023">
      <w:pPr>
        <w:pStyle w:val="ConsPlusTitle"/>
        <w:jc w:val="center"/>
      </w:pPr>
      <w:r>
        <w:t>КОНТРАКТА, ПРЕДМЕТОМ КОТОРОГО ЯВЛЯЮТСЯ СТРОИТЕЛЬСТВО,</w:t>
      </w:r>
    </w:p>
    <w:p w:rsidR="004B0023" w:rsidRDefault="004B0023">
      <w:pPr>
        <w:pStyle w:val="ConsPlusTitle"/>
        <w:jc w:val="center"/>
      </w:pPr>
      <w:r>
        <w:t>РЕКОНСТРУКЦИЯ ОБЪЕКТОВ КАПИТАЛЬНОГО СТРОИТЕЛЬСТВА,</w:t>
      </w:r>
    </w:p>
    <w:p w:rsidR="004B0023" w:rsidRDefault="004B0023">
      <w:pPr>
        <w:pStyle w:val="ConsPlusTitle"/>
        <w:jc w:val="center"/>
      </w:pPr>
      <w:r>
        <w:t>УТВЕРЖДЕННУЮ ПРИКАЗОМ МИНИСТЕРСТВА СТРОИТЕЛЬСТВА</w:t>
      </w:r>
    </w:p>
    <w:p w:rsidR="004B0023" w:rsidRDefault="004B0023">
      <w:pPr>
        <w:pStyle w:val="ConsPlusTitle"/>
        <w:jc w:val="center"/>
      </w:pPr>
      <w:r>
        <w:t>И ЖИЛИЩНО-КОММУНАЛЬНОГО ХОЗЯЙСТВА РОССИЙСКОЙ</w:t>
      </w:r>
    </w:p>
    <w:p w:rsidR="004B0023" w:rsidRDefault="004B0023">
      <w:pPr>
        <w:pStyle w:val="ConsPlusTitle"/>
        <w:jc w:val="center"/>
      </w:pPr>
      <w:r>
        <w:t>ФЕДЕРАЦИИ ОТ 23 ДЕКАБРЯ 2019 Г. N 841/ПР</w:t>
      </w:r>
    </w:p>
    <w:p w:rsidR="004B0023" w:rsidRDefault="004B0023">
      <w:pPr>
        <w:pStyle w:val="ConsPlusNormal"/>
        <w:jc w:val="both"/>
      </w:pPr>
    </w:p>
    <w:p w:rsidR="004B0023" w:rsidRDefault="004B0023">
      <w:pPr>
        <w:pStyle w:val="ConsPlusNormal"/>
        <w:ind w:firstLine="540"/>
        <w:jc w:val="both"/>
      </w:pPr>
      <w:r>
        <w:t>1. В пункте 8 слова "пунктами 9, 10, 11 и 12" заменить словами "пунктами 9 - 12, 14, 14.1, 14.2 и 14.3".</w:t>
      </w:r>
    </w:p>
    <w:p w:rsidR="004B0023" w:rsidRDefault="004B0023">
      <w:pPr>
        <w:pStyle w:val="ConsPlusNormal"/>
        <w:spacing w:before="220"/>
        <w:ind w:firstLine="540"/>
        <w:jc w:val="both"/>
      </w:pPr>
      <w:r>
        <w:t>2. Дополнить пунктами 13, 14, 14.1, 14.2 и 14.3 в следующей редакции:</w:t>
      </w:r>
    </w:p>
    <w:p w:rsidR="004B0023" w:rsidRDefault="004B0023">
      <w:pPr>
        <w:pStyle w:val="ConsPlusNormal"/>
        <w:spacing w:before="220"/>
        <w:ind w:firstLine="540"/>
        <w:jc w:val="both"/>
      </w:pPr>
      <w:r>
        <w:t>"13. В случае, если заказчиком принято решение о сокращении сроков исполнения контракта с перераспределением объемов финансирования с последующих периодов на более ранние периоды без изменения объемов и содержания работ, то смета контракта не изменяется.</w:t>
      </w:r>
    </w:p>
    <w:p w:rsidR="004B0023" w:rsidRDefault="004B0023">
      <w:pPr>
        <w:pStyle w:val="ConsPlusNormal"/>
        <w:spacing w:before="220"/>
        <w:ind w:firstLine="540"/>
        <w:jc w:val="both"/>
      </w:pPr>
      <w:r>
        <w:t>14. В соответствии с пунктом 8 части 1 статьи 95 Федерального закона N 44-ФЗ в случае увеличения общей стоимости работ по смете контракта не более чем на 30 процентов в результате выявленного в процессе исполнения контракта существенного возрастания суммарной стоимости строительства в связи с ростом стоимости строительных ресурсов поставки подрядчика (далее - существенное возрастание стоимости строительных ресурсов поставки подрядчика) внесение изменений в смету контракта осуществляется в порядке, предусмотренном абзацем 2 настоящего пункта и пунктами 14.1, 14.2 и 14.3 настоящей Методики.</w:t>
      </w:r>
    </w:p>
    <w:p w:rsidR="004B0023" w:rsidRDefault="004B0023">
      <w:pPr>
        <w:pStyle w:val="ConsPlusNormal"/>
        <w:spacing w:before="220"/>
        <w:ind w:firstLine="540"/>
        <w:jc w:val="both"/>
      </w:pPr>
      <w:r>
        <w:t>Обоснование существенного возрастания стоимости строительных ресурсов поставки подрядчика, оказывающего влияние на изменение (увеличение) цены контракта, оформляется в письменной форме в виде расчета, выполненного в соответствии с объемами работ и затрат, предусмотренными сметой контракта, с учетом выявленного в процессе исполнения контракта существенного возрастания стоимости строительных ресурсов, поставляемых подрядчиком (далее - Расчет).</w:t>
      </w:r>
    </w:p>
    <w:p w:rsidR="004B0023" w:rsidRDefault="004B0023">
      <w:pPr>
        <w:pStyle w:val="ConsPlusNormal"/>
        <w:spacing w:before="220"/>
        <w:ind w:firstLine="540"/>
        <w:jc w:val="both"/>
      </w:pPr>
      <w:r>
        <w:t>14.1. Для контрактов, цена которых не превышает 30 млн. руб., Расчет оформляется в разрезе строительных ресурсов, суммарная стоимость которых с учетом объема поставки по контракту в целом (как приобретенных, так и тех, закупка которых еще не была осуществлена подрядчиком) составляет не менее 80 процентов от общей стоимости всего объема таких строительных ресурсов, необходимых для исполнения контракта (далее - ценообразующие строительные ресурсы), закупка которых еще не была произведена подрядчиком, но осуществление которой необходимо для выполнения работ, предусмотренных контрактом, и ценовые показатели которых по данным подрядчика претерпели значительное изменение. При этом определение перечня ценообразующих строительных ресурсов осуществляется отдельно для строительных ресурсов, относящихся к материалам, и для строительных ресурсов, относящихся к оборудованию (далее - ценообразующие строительные материалы, ценообразующее оборудование соответственно). Рекомендуемый образец расчета приведен в приложении N 3 к настоящей Методике.</w:t>
      </w:r>
    </w:p>
    <w:p w:rsidR="004B0023" w:rsidRDefault="004B0023">
      <w:pPr>
        <w:pStyle w:val="ConsPlusNormal"/>
        <w:spacing w:before="220"/>
        <w:ind w:firstLine="540"/>
        <w:jc w:val="both"/>
      </w:pPr>
      <w:r>
        <w:t>Определение перечня ценообразующих строительных материалов и (или) оборудования осуществляется на основании сметной документации в базисном уровне цен, получившей положительное заключение органов экспертизы и использованной при формировании начальной (максимальной) цены контракта, или на основании информации о текущей стоимости строительных ресурсов, необходимых для выполнения работ, предусмотренных условиями контракта, и использованной при формировании сметы контракта.</w:t>
      </w:r>
    </w:p>
    <w:p w:rsidR="004B0023" w:rsidRDefault="004B0023">
      <w:pPr>
        <w:pStyle w:val="ConsPlusNormal"/>
        <w:spacing w:before="220"/>
        <w:ind w:firstLine="540"/>
        <w:jc w:val="both"/>
      </w:pPr>
      <w:r>
        <w:t xml:space="preserve">Для подтверждения ценовых показателей таких ценообразующих строительных материалов и (или) оборудования представляются обосновывающие документы, содержащие информацию о цене таких строительных материалов и (или) оборудования, действующей на дату заключения действующего контракта, а также на дату проведения Расчета. При этом под датой проведения </w:t>
      </w:r>
      <w:r>
        <w:lastRenderedPageBreak/>
        <w:t>Расчета понимается дата предоставления расчетных и обосновывающих документов подрядчиком заказчику.</w:t>
      </w:r>
    </w:p>
    <w:p w:rsidR="004B0023" w:rsidRDefault="004B0023">
      <w:pPr>
        <w:pStyle w:val="ConsPlusNormal"/>
        <w:spacing w:before="220"/>
        <w:ind w:firstLine="540"/>
        <w:jc w:val="both"/>
      </w:pPr>
      <w:r>
        <w:t>В качестве обосновывающих документов предоставляются:</w:t>
      </w:r>
    </w:p>
    <w:p w:rsidR="004B0023" w:rsidRDefault="004B0023">
      <w:pPr>
        <w:pStyle w:val="ConsPlusNormal"/>
        <w:spacing w:before="220"/>
        <w:ind w:firstLine="540"/>
        <w:jc w:val="both"/>
      </w:pPr>
      <w:r>
        <w:t>а) в уровне цен на дату заключения контракта: коммерческие предложения, прайс-листы, данные торговых площадок, договоры поставки идентичных строительных материалов и (или) оборудования, заключенные для исполнения иных контрактов (при условии соответствия даты, указанной в таких документах, дате заключения контракта с возможным отклонением не более 30 календарных дней), использованные в том числе при определении начальной (максимальной) цены контракта и формировании проекта сметы контракта, а также договоры поставки, заключенные до существенного возрастания стоимости идентичных строительных материалов и (или) оборудования, данные бухгалтерской отчетности и иные документы;</w:t>
      </w:r>
    </w:p>
    <w:p w:rsidR="004B0023" w:rsidRDefault="004B0023">
      <w:pPr>
        <w:pStyle w:val="ConsPlusNormal"/>
        <w:spacing w:before="220"/>
        <w:ind w:firstLine="540"/>
        <w:jc w:val="both"/>
      </w:pPr>
      <w:r>
        <w:t>б) в уровне цен на дату проведения Расчета: коммерческие предложения, прайс-листы, договоры поставки идентичных строительных материалов и (или) оборудования, заключенные для исполнения иных контрактов, данные торговых площадок и иные документы.</w:t>
      </w:r>
    </w:p>
    <w:p w:rsidR="004B0023" w:rsidRDefault="004B0023">
      <w:pPr>
        <w:pStyle w:val="ConsPlusNormal"/>
        <w:spacing w:before="220"/>
        <w:ind w:firstLine="540"/>
        <w:jc w:val="both"/>
      </w:pPr>
      <w:r>
        <w:t>Для подтверждения ценовых показателей по каждой позиции перечня ценообразующих строительных материалов и (или) оборудования, определенных для проведения Расчета, представляются не менее 3 (трех) обосновывающих документов, за исключением случаев, когда материал и (или) оборудование поставляется единственным поставщиком.</w:t>
      </w:r>
    </w:p>
    <w:p w:rsidR="004B0023" w:rsidRDefault="004B0023">
      <w:pPr>
        <w:pStyle w:val="ConsPlusNormal"/>
        <w:spacing w:before="220"/>
        <w:ind w:firstLine="540"/>
        <w:jc w:val="both"/>
      </w:pPr>
      <w:r>
        <w:t>Ценовые показатели ценообразующих строительных материалов и (или) оборудования, используемые для проведения Расчета, определяются по наиболее экономичному варианту, определенному на основании ценовых показателей строительных материалов и (или) оборудования в представленных обосновывающих документах. При этом под наиболее экономичным вариантом понимается минимальное значение стоимости строительных материалов и (или) оборудования в представленных обосновывающих документах. При выполнении Расчета стоимостные показатели строительных материалов и (или) оборудования в уровне цен на дату заключения контракта приводятся к уровню цен периода исполнения контракта. Приведение к уровню цен периода исполнения контракта осуществляется путем умножения стоимостных показателей по представленным обосновывающим документам в уровне цен на дату заключения контракта на индексы цен на продукцию (затраты, услуги) инвестиционного назначения по видам экономической деятельности (строительство), публикуемые Федеральной службой государственной статистики для соответствующего периода, и индексы-дефляторы Министерства экономического развития Российской Федерации по строке "Инвестиции в основной капитал (капитальные вложения)", используемые при формировании начальной (максимальной) цены контракта и (или) проекта сметы контракта.</w:t>
      </w:r>
    </w:p>
    <w:p w:rsidR="004B0023" w:rsidRDefault="004B0023">
      <w:pPr>
        <w:pStyle w:val="ConsPlusNormal"/>
        <w:spacing w:before="220"/>
        <w:ind w:firstLine="540"/>
        <w:jc w:val="both"/>
      </w:pPr>
      <w:r>
        <w:t>При выполнении Расчета стоимость ценообразующих строительных материалов и (или) оборудования, учтенных в сметной документации, используемой для расчета начальной (максимальной) цены контракта, и отсутствующих в сметно-нормативной базе (принятых по фактической стоимости на основании прейскурантов, коммерческих предложений, прайс-листов), в уровне цен на дату заключения контракта определяется путем применения к их ценовым показателям в уровне цен на дату утверждения проектной документации, учтенных в сметной документации, используемой для расчета начальной (максимальной) цены контракта, индексов цен на продукцию (затраты, услуги) инвестиционного назначения по видам экономической деятельности (строительство), публикуемые Федеральной службой государственной статистики для соответствующего периода, и индексы-дефляторы Министерства экономического развития Российской Федерации по строке "Инвестиции в основной капитал (капитальные вложения)", принятых при расчете начальной (максимальной) цены контракта.</w:t>
      </w:r>
    </w:p>
    <w:p w:rsidR="004B0023" w:rsidRDefault="004B0023">
      <w:pPr>
        <w:pStyle w:val="ConsPlusNormal"/>
        <w:spacing w:before="220"/>
        <w:ind w:firstLine="540"/>
        <w:jc w:val="both"/>
      </w:pPr>
      <w:r>
        <w:t xml:space="preserve">По результатам Расчета определяется разница между стоимостью ценообразующих строительных материалов и (или) оборудования, ценовые показатели которых по данным </w:t>
      </w:r>
      <w:r>
        <w:lastRenderedPageBreak/>
        <w:t>подрядчика претерпели изменение, принятой при формировании сметы контракта (в уровне цен на дату заключения контракта), и стоимостью ценообразующих материалов и (или) оборудования поставки подрядчика, стоимость которых уточнена в процессе исполнения контракта в связи с выявленным существенным изменением стоимости строительных материалов и (или) оборудования (в уровне цен на период проведения Расчета).</w:t>
      </w:r>
    </w:p>
    <w:p w:rsidR="004B0023" w:rsidRDefault="004B0023">
      <w:pPr>
        <w:pStyle w:val="ConsPlusNormal"/>
        <w:spacing w:before="220"/>
        <w:ind w:firstLine="540"/>
        <w:jc w:val="both"/>
      </w:pPr>
      <w:r>
        <w:t>Указанная разница определяется по формуле:</w:t>
      </w:r>
    </w:p>
    <w:p w:rsidR="004B0023" w:rsidRDefault="004B0023">
      <w:pPr>
        <w:pStyle w:val="ConsPlusNormal"/>
        <w:jc w:val="both"/>
      </w:pPr>
    </w:p>
    <w:p w:rsidR="004B0023" w:rsidRDefault="004B0023">
      <w:pPr>
        <w:pStyle w:val="ConsPlusNormal"/>
        <w:jc w:val="center"/>
      </w:pPr>
      <w:proofErr w:type="spellStart"/>
      <w:r>
        <w:t>С</w:t>
      </w:r>
      <w:r>
        <w:rPr>
          <w:vertAlign w:val="subscript"/>
        </w:rPr>
        <w:t>доп</w:t>
      </w:r>
      <w:proofErr w:type="spellEnd"/>
      <w:r>
        <w:t xml:space="preserve"> = </w:t>
      </w:r>
      <w:proofErr w:type="spellStart"/>
      <w:r>
        <w:t>С</w:t>
      </w:r>
      <w:r>
        <w:rPr>
          <w:vertAlign w:val="subscript"/>
        </w:rPr>
        <w:t>ц.</w:t>
      </w:r>
      <w:proofErr w:type="gramStart"/>
      <w:r>
        <w:rPr>
          <w:vertAlign w:val="subscript"/>
        </w:rPr>
        <w:t>м.контракт</w:t>
      </w:r>
      <w:proofErr w:type="spellEnd"/>
      <w:proofErr w:type="gramEnd"/>
      <w:r>
        <w:t xml:space="preserve"> - </w:t>
      </w:r>
      <w:proofErr w:type="spellStart"/>
      <w:r>
        <w:t>С</w:t>
      </w:r>
      <w:r>
        <w:rPr>
          <w:vertAlign w:val="subscript"/>
        </w:rPr>
        <w:t>ц.м.нмцк</w:t>
      </w:r>
      <w:proofErr w:type="spellEnd"/>
      <w:r>
        <w:t>,</w:t>
      </w:r>
    </w:p>
    <w:p w:rsidR="004B0023" w:rsidRDefault="004B0023">
      <w:pPr>
        <w:pStyle w:val="ConsPlusNormal"/>
        <w:jc w:val="both"/>
      </w:pPr>
    </w:p>
    <w:p w:rsidR="004B0023" w:rsidRDefault="004B0023">
      <w:pPr>
        <w:pStyle w:val="ConsPlusNormal"/>
        <w:ind w:firstLine="540"/>
        <w:jc w:val="both"/>
      </w:pPr>
      <w:r>
        <w:t>где:</w:t>
      </w:r>
    </w:p>
    <w:p w:rsidR="004B0023" w:rsidRDefault="004B0023">
      <w:pPr>
        <w:pStyle w:val="ConsPlusNormal"/>
        <w:spacing w:before="220"/>
        <w:ind w:firstLine="540"/>
        <w:jc w:val="both"/>
      </w:pPr>
      <w:proofErr w:type="spellStart"/>
      <w:r>
        <w:t>С</w:t>
      </w:r>
      <w:r>
        <w:rPr>
          <w:vertAlign w:val="subscript"/>
        </w:rPr>
        <w:t>доп</w:t>
      </w:r>
      <w:proofErr w:type="spellEnd"/>
      <w:r>
        <w:t xml:space="preserve"> - величина возрастания стоимости строительных ресурсов, закупка которых еще не была произведена подрядчиком до даты проведения Расчета, но осуществление которой необходимо для выполнения работ, предусмотренных контрактом, выявленная в процессе исполнения контракта, которую нельзя было предусмотреть при заключении контракта;</w:t>
      </w:r>
    </w:p>
    <w:p w:rsidR="004B0023" w:rsidRDefault="004B0023">
      <w:pPr>
        <w:pStyle w:val="ConsPlusNormal"/>
        <w:spacing w:before="220"/>
        <w:ind w:firstLine="540"/>
        <w:jc w:val="both"/>
      </w:pPr>
      <w:proofErr w:type="spellStart"/>
      <w:r>
        <w:t>С</w:t>
      </w:r>
      <w:r>
        <w:rPr>
          <w:vertAlign w:val="subscript"/>
        </w:rPr>
        <w:t>ц.</w:t>
      </w:r>
      <w:proofErr w:type="gramStart"/>
      <w:r>
        <w:rPr>
          <w:vertAlign w:val="subscript"/>
        </w:rPr>
        <w:t>м.контракт</w:t>
      </w:r>
      <w:proofErr w:type="spellEnd"/>
      <w:proofErr w:type="gramEnd"/>
      <w:r>
        <w:t xml:space="preserve"> - стоимость ценообразующих строительных материалов и (или) оборудования, закупка которых еще не была произведена подрядчиком до даты проведения Расчета, но осуществление которой необходимо для выполнения работ, предусмотренных контрактом, определенная в уровне цен на дату выполнения Расчета;</w:t>
      </w:r>
    </w:p>
    <w:p w:rsidR="004B0023" w:rsidRDefault="004B0023">
      <w:pPr>
        <w:pStyle w:val="ConsPlusNormal"/>
        <w:spacing w:before="220"/>
        <w:ind w:firstLine="540"/>
        <w:jc w:val="both"/>
      </w:pPr>
      <w:proofErr w:type="spellStart"/>
      <w:r>
        <w:t>С</w:t>
      </w:r>
      <w:r>
        <w:rPr>
          <w:vertAlign w:val="subscript"/>
        </w:rPr>
        <w:t>ц.</w:t>
      </w:r>
      <w:proofErr w:type="gramStart"/>
      <w:r>
        <w:rPr>
          <w:vertAlign w:val="subscript"/>
        </w:rPr>
        <w:t>м.нмцк</w:t>
      </w:r>
      <w:proofErr w:type="spellEnd"/>
      <w:proofErr w:type="gramEnd"/>
      <w:r>
        <w:t xml:space="preserve"> - стоимость ценообразующих строительных материалов и (или) оборудования, закупка которых еще не была произведена подрядчиком до даты проведения Расчета, но осуществление которой необходимо для выполнения работ, предусмотренных контрактом, определенная в уровне цен исполнения контракта.</w:t>
      </w:r>
    </w:p>
    <w:p w:rsidR="004B0023" w:rsidRDefault="004B0023">
      <w:pPr>
        <w:pStyle w:val="ConsPlusNormal"/>
        <w:spacing w:before="220"/>
        <w:ind w:firstLine="540"/>
        <w:jc w:val="both"/>
      </w:pPr>
      <w:r>
        <w:t>Новая цена контракта определяется как сумма цены работ по действующей смете контракта и величины возрастания стоимости строительных ресурсов, закупка которых еще не была произведена подрядчиком до даты проведения Расчета, но осуществление которой необходимо для выполнения работ, предусмотренных контрактом, выявленная в процессе исполнения контракта, которую нельзя было предусмотреть при заключении контракта, по формуле:</w:t>
      </w:r>
    </w:p>
    <w:p w:rsidR="004B0023" w:rsidRDefault="004B0023">
      <w:pPr>
        <w:pStyle w:val="ConsPlusNormal"/>
        <w:jc w:val="both"/>
      </w:pPr>
    </w:p>
    <w:p w:rsidR="004B0023" w:rsidRDefault="004B0023">
      <w:pPr>
        <w:pStyle w:val="ConsPlusNormal"/>
        <w:jc w:val="center"/>
      </w:pPr>
      <w:proofErr w:type="spellStart"/>
      <w:proofErr w:type="gramStart"/>
      <w:r>
        <w:t>С</w:t>
      </w:r>
      <w:r>
        <w:rPr>
          <w:vertAlign w:val="subscript"/>
        </w:rPr>
        <w:t>н.цена</w:t>
      </w:r>
      <w:proofErr w:type="spellEnd"/>
      <w:proofErr w:type="gramEnd"/>
      <w:r>
        <w:t xml:space="preserve"> = </w:t>
      </w:r>
      <w:proofErr w:type="spellStart"/>
      <w:r>
        <w:t>С</w:t>
      </w:r>
      <w:r>
        <w:rPr>
          <w:vertAlign w:val="subscript"/>
        </w:rPr>
        <w:t>сущ.смета</w:t>
      </w:r>
      <w:proofErr w:type="spellEnd"/>
      <w:r>
        <w:t xml:space="preserve"> + </w:t>
      </w:r>
      <w:proofErr w:type="spellStart"/>
      <w:r>
        <w:t>С</w:t>
      </w:r>
      <w:r>
        <w:rPr>
          <w:vertAlign w:val="subscript"/>
        </w:rPr>
        <w:t>доп</w:t>
      </w:r>
      <w:proofErr w:type="spellEnd"/>
      <w:r>
        <w:t>,</w:t>
      </w:r>
    </w:p>
    <w:p w:rsidR="004B0023" w:rsidRDefault="004B0023">
      <w:pPr>
        <w:pStyle w:val="ConsPlusNormal"/>
        <w:jc w:val="both"/>
      </w:pPr>
    </w:p>
    <w:p w:rsidR="004B0023" w:rsidRDefault="004B0023">
      <w:pPr>
        <w:pStyle w:val="ConsPlusNormal"/>
        <w:ind w:firstLine="540"/>
        <w:jc w:val="both"/>
      </w:pPr>
      <w:r>
        <w:t>где:</w:t>
      </w:r>
    </w:p>
    <w:p w:rsidR="004B0023" w:rsidRDefault="004B0023">
      <w:pPr>
        <w:pStyle w:val="ConsPlusNormal"/>
        <w:spacing w:before="220"/>
        <w:ind w:firstLine="540"/>
        <w:jc w:val="both"/>
      </w:pPr>
      <w:proofErr w:type="spellStart"/>
      <w:proofErr w:type="gramStart"/>
      <w:r>
        <w:t>С</w:t>
      </w:r>
      <w:r>
        <w:rPr>
          <w:vertAlign w:val="subscript"/>
        </w:rPr>
        <w:t>н.цена</w:t>
      </w:r>
      <w:proofErr w:type="spellEnd"/>
      <w:proofErr w:type="gramEnd"/>
      <w:r>
        <w:t xml:space="preserve"> - цена работ по новой (откорректированной) смете контракта в уровне цен исполнения контракта;</w:t>
      </w:r>
    </w:p>
    <w:p w:rsidR="004B0023" w:rsidRDefault="004B0023">
      <w:pPr>
        <w:pStyle w:val="ConsPlusNormal"/>
        <w:spacing w:before="220"/>
        <w:ind w:firstLine="540"/>
        <w:jc w:val="both"/>
      </w:pPr>
      <w:proofErr w:type="spellStart"/>
      <w:r>
        <w:t>С</w:t>
      </w:r>
      <w:r>
        <w:rPr>
          <w:vertAlign w:val="subscript"/>
        </w:rPr>
        <w:t>сущ.смета</w:t>
      </w:r>
      <w:proofErr w:type="spellEnd"/>
      <w:r>
        <w:t xml:space="preserve"> - цена работ по действующей смете контракта в уровне цен исполнения контракта;</w:t>
      </w:r>
    </w:p>
    <w:p w:rsidR="004B0023" w:rsidRDefault="004B0023">
      <w:pPr>
        <w:pStyle w:val="ConsPlusNormal"/>
        <w:spacing w:before="220"/>
        <w:ind w:firstLine="540"/>
        <w:jc w:val="both"/>
      </w:pPr>
      <w:proofErr w:type="spellStart"/>
      <w:r>
        <w:t>С</w:t>
      </w:r>
      <w:r>
        <w:rPr>
          <w:vertAlign w:val="subscript"/>
        </w:rPr>
        <w:t>доп</w:t>
      </w:r>
      <w:proofErr w:type="spellEnd"/>
      <w:r>
        <w:t xml:space="preserve"> - величина возрастания стоимости строительных ресурсов, закупка которых еще не была осуществлена подрядчиком, выявленная в процессе исполнения контракта, которую нельзя было предусмотреть при заключении контракта.</w:t>
      </w:r>
    </w:p>
    <w:p w:rsidR="004B0023" w:rsidRDefault="004B0023">
      <w:pPr>
        <w:pStyle w:val="ConsPlusNormal"/>
        <w:spacing w:before="220"/>
        <w:ind w:firstLine="540"/>
        <w:jc w:val="both"/>
      </w:pPr>
      <w:r>
        <w:t>Величина изменения стоимости строительных ресурсов (</w:t>
      </w:r>
      <w:proofErr w:type="spellStart"/>
      <w:r>
        <w:t>С</w:t>
      </w:r>
      <w:r>
        <w:rPr>
          <w:vertAlign w:val="subscript"/>
        </w:rPr>
        <w:t>доп</w:t>
      </w:r>
      <w:proofErr w:type="spellEnd"/>
      <w:r>
        <w:t xml:space="preserve">) распределяется пропорционально на остаток выполняемых работ по каждой позиции сметы контракта. Распределение осуществляется путем умножения </w:t>
      </w:r>
      <w:proofErr w:type="gramStart"/>
      <w:r>
        <w:t>цены работ</w:t>
      </w:r>
      <w:proofErr w:type="gramEnd"/>
      <w:r>
        <w:t xml:space="preserve"> установленной на единицу измерения сметы контракта по оставшимся работам на коэффициент увеличения стоимости работ (</w:t>
      </w:r>
      <w:proofErr w:type="spellStart"/>
      <w:r>
        <w:t>К</w:t>
      </w:r>
      <w:r>
        <w:rPr>
          <w:vertAlign w:val="subscript"/>
        </w:rPr>
        <w:t>ув</w:t>
      </w:r>
      <w:proofErr w:type="spellEnd"/>
      <w:r>
        <w:t>), определяемый по формуле:</w:t>
      </w:r>
    </w:p>
    <w:p w:rsidR="004B0023" w:rsidRDefault="004B0023">
      <w:pPr>
        <w:pStyle w:val="ConsPlusNormal"/>
        <w:jc w:val="both"/>
      </w:pPr>
    </w:p>
    <w:p w:rsidR="004B0023" w:rsidRDefault="004B0023">
      <w:pPr>
        <w:pStyle w:val="ConsPlusNormal"/>
        <w:jc w:val="center"/>
      </w:pPr>
      <w:proofErr w:type="spellStart"/>
      <w:r>
        <w:t>К</w:t>
      </w:r>
      <w:r>
        <w:rPr>
          <w:vertAlign w:val="subscript"/>
        </w:rPr>
        <w:t>ув</w:t>
      </w:r>
      <w:proofErr w:type="spellEnd"/>
      <w:r>
        <w:t xml:space="preserve"> = 1 + (</w:t>
      </w:r>
      <w:proofErr w:type="spellStart"/>
      <w:r>
        <w:t>С</w:t>
      </w:r>
      <w:r>
        <w:rPr>
          <w:vertAlign w:val="subscript"/>
        </w:rPr>
        <w:t>доп</w:t>
      </w:r>
      <w:proofErr w:type="spellEnd"/>
      <w:r>
        <w:t xml:space="preserve"> / </w:t>
      </w:r>
      <w:proofErr w:type="spellStart"/>
      <w:r>
        <w:t>С</w:t>
      </w:r>
      <w:r>
        <w:rPr>
          <w:vertAlign w:val="subscript"/>
        </w:rPr>
        <w:t>ост</w:t>
      </w:r>
      <w:proofErr w:type="spellEnd"/>
      <w:r>
        <w:t>),</w:t>
      </w:r>
    </w:p>
    <w:p w:rsidR="004B0023" w:rsidRDefault="004B0023">
      <w:pPr>
        <w:pStyle w:val="ConsPlusNormal"/>
        <w:jc w:val="both"/>
      </w:pPr>
    </w:p>
    <w:p w:rsidR="004B0023" w:rsidRDefault="004B0023">
      <w:pPr>
        <w:pStyle w:val="ConsPlusNormal"/>
        <w:ind w:firstLine="540"/>
        <w:jc w:val="both"/>
      </w:pPr>
      <w:r>
        <w:t>где:</w:t>
      </w:r>
    </w:p>
    <w:p w:rsidR="004B0023" w:rsidRDefault="004B0023">
      <w:pPr>
        <w:pStyle w:val="ConsPlusNormal"/>
        <w:spacing w:before="220"/>
        <w:ind w:firstLine="540"/>
        <w:jc w:val="both"/>
      </w:pPr>
      <w:proofErr w:type="spellStart"/>
      <w:r>
        <w:lastRenderedPageBreak/>
        <w:t>С</w:t>
      </w:r>
      <w:r>
        <w:rPr>
          <w:vertAlign w:val="subscript"/>
        </w:rPr>
        <w:t>ост</w:t>
      </w:r>
      <w:proofErr w:type="spellEnd"/>
      <w:r>
        <w:t xml:space="preserve"> - цена остатков работ по смете контракта на дату корректировки сметы контракта.</w:t>
      </w:r>
    </w:p>
    <w:p w:rsidR="004B0023" w:rsidRDefault="004B0023">
      <w:pPr>
        <w:pStyle w:val="ConsPlusNormal"/>
        <w:spacing w:before="220"/>
        <w:ind w:firstLine="540"/>
        <w:jc w:val="both"/>
      </w:pPr>
      <w:r>
        <w:t>14.2. Для контрактов, цена которых превышает 30 млн. руб., новая цена работ по откорректированной смете контракта определяется в следующей последовательности:</w:t>
      </w:r>
    </w:p>
    <w:p w:rsidR="004B0023" w:rsidRDefault="004B0023">
      <w:pPr>
        <w:pStyle w:val="ConsPlusNormal"/>
        <w:spacing w:before="220"/>
        <w:ind w:firstLine="540"/>
        <w:jc w:val="both"/>
      </w:pPr>
      <w:r>
        <w:t>а) Определяется сметная стоимость всех работ, предусмотренных проектной документацией, используемой при определении начальной (максимальной) цены контракта, рассчитанная в уровне цен на дату выполнения Расчета (</w:t>
      </w:r>
      <w:proofErr w:type="spellStart"/>
      <w:r>
        <w:t>Ц</w:t>
      </w:r>
      <w:r>
        <w:rPr>
          <w:vertAlign w:val="subscript"/>
        </w:rPr>
        <w:t>нов</w:t>
      </w:r>
      <w:proofErr w:type="spellEnd"/>
      <w:r>
        <w:t>).</w:t>
      </w:r>
    </w:p>
    <w:p w:rsidR="004B0023" w:rsidRDefault="004B0023">
      <w:pPr>
        <w:pStyle w:val="ConsPlusNormal"/>
        <w:spacing w:before="220"/>
        <w:ind w:firstLine="540"/>
        <w:jc w:val="both"/>
      </w:pPr>
      <w:r>
        <w:t xml:space="preserve">Показатель </w:t>
      </w:r>
      <w:proofErr w:type="spellStart"/>
      <w:r>
        <w:t>Ц</w:t>
      </w:r>
      <w:r>
        <w:rPr>
          <w:vertAlign w:val="subscript"/>
        </w:rPr>
        <w:t>нов</w:t>
      </w:r>
      <w:proofErr w:type="spellEnd"/>
      <w:r>
        <w:t xml:space="preserve"> определяется на основании сметной документации, определяющей сметную стоимость всех работ, предусмотренных проектной документацией по объекту строительства, используемой при определении начальной (максимальной) цены контракта (далее - НМЦК) и пересчитанной из базисного уровня цен (по состоянию на 01.01.2000), определенного в такой сметной документации (без его пересчета), в уровень цен на дату выполнения Расчета с применением индексов изменения сметной стоимости строительства, действующих на дату выполнения такого пересчета, размещенных Министерством строительства и жилищно-коммунального хозяйства Российской Федерации в федеральном реестре сметных нормативов в соответствии с приказом Министерства строительства и жилищно-коммунального хозяйства Российской Федерации от 24 октября 2017 г. N 1470/</w:t>
      </w:r>
      <w:proofErr w:type="spellStart"/>
      <w:r>
        <w:t>пр</w:t>
      </w:r>
      <w:proofErr w:type="spellEnd"/>
      <w:r>
        <w:t xml:space="preserve"> "Об утверждении порядка формирования и ведения федерального реестра сметных нормативов" (зарегистрирован Министерством юстиции Российской Федерации 14 мая 2018 г., регистрационный N 51079).</w:t>
      </w:r>
    </w:p>
    <w:p w:rsidR="004B0023" w:rsidRDefault="004B0023">
      <w:pPr>
        <w:pStyle w:val="ConsPlusNormal"/>
        <w:spacing w:before="220"/>
        <w:ind w:firstLine="540"/>
        <w:jc w:val="both"/>
      </w:pPr>
      <w:r>
        <w:t>При пересчете применяются индексы изменения сметной стоимости, соответствующие по наименованию индексам, принятым в сметной документации, использованной для определения НМЦК, а также соответствующие той ценовой зоне, для которой эти индексы применялись.</w:t>
      </w:r>
    </w:p>
    <w:p w:rsidR="004B0023" w:rsidRDefault="004B0023">
      <w:pPr>
        <w:pStyle w:val="ConsPlusNormal"/>
        <w:spacing w:before="220"/>
        <w:ind w:firstLine="540"/>
        <w:jc w:val="both"/>
      </w:pPr>
      <w:r>
        <w:t>В случае если после определения НМЦК Минстроем России опубликованы индексы изменения сметной стоимости, наиболее полно отражающие специфику объекта капитального строительства (далее - Индекс по виду объекта), для определения сметной стоимости всех работ, выполнение которых предусмотрено подрядчиком по контракту, в уровне цен на дату выполнения Расчета (</w:t>
      </w:r>
      <w:proofErr w:type="spellStart"/>
      <w:r>
        <w:t>Ц</w:t>
      </w:r>
      <w:r>
        <w:rPr>
          <w:vertAlign w:val="subscript"/>
        </w:rPr>
        <w:t>нов</w:t>
      </w:r>
      <w:proofErr w:type="spellEnd"/>
      <w:r>
        <w:t>) применяются указанные новые индексы.</w:t>
      </w:r>
    </w:p>
    <w:p w:rsidR="004B0023" w:rsidRDefault="004B0023">
      <w:pPr>
        <w:pStyle w:val="ConsPlusNormal"/>
        <w:spacing w:before="220"/>
        <w:ind w:firstLine="540"/>
        <w:jc w:val="both"/>
      </w:pPr>
      <w:r>
        <w:t>В случае если после определения НМЦК Минстроем России опубликованы индексы изменения сметной стоимости для частей территории субъектов Российской Федерации, которые нормативными правовыми актами высшего исполнительного органа государственной власти субъекта Российской Федерации определены как самостоятельные ценовые зоны, или в случае, если ценовые зоны изменились, то для определения сметной стоимости всех работ, выполнение которых предусмотрено подрядчиком по контракту, в уровне цен на дату выполнения Расчета (</w:t>
      </w:r>
      <w:proofErr w:type="spellStart"/>
      <w:r>
        <w:t>Ц</w:t>
      </w:r>
      <w:r>
        <w:rPr>
          <w:vertAlign w:val="subscript"/>
        </w:rPr>
        <w:t>нов</w:t>
      </w:r>
      <w:proofErr w:type="spellEnd"/>
      <w:r>
        <w:t>) применяются индексы, опубликованные Минстроем России для первой ценовой зоны субъекта Российской Федерации. При пересчете сметная стоимость строительных материалов и (или) оборудования, принятых в сметной документации по фактической стоимости на основании прейскурантов, коммерческих предложений, прайс-листов, ценовые показатели которых по данным подрядчика претерпели существенное изменение, определяется по результатам конъюнктурного анализа.</w:t>
      </w:r>
    </w:p>
    <w:p w:rsidR="004B0023" w:rsidRDefault="004B0023">
      <w:pPr>
        <w:pStyle w:val="ConsPlusNormal"/>
        <w:spacing w:before="220"/>
        <w:ind w:firstLine="540"/>
        <w:jc w:val="both"/>
      </w:pPr>
      <w:r>
        <w:t>Для подтверждения ценовых показателей таких строительных материалов и (или) оборудования по прайс-листам представляются обосновывающие документы, содержащие информацию о цене таких строительных материалов и (или) оборудования, действующей на дату проведения Расчета.</w:t>
      </w:r>
    </w:p>
    <w:p w:rsidR="004B0023" w:rsidRDefault="004B0023">
      <w:pPr>
        <w:pStyle w:val="ConsPlusNormal"/>
        <w:spacing w:before="220"/>
        <w:ind w:firstLine="540"/>
        <w:jc w:val="both"/>
      </w:pPr>
      <w:r>
        <w:t xml:space="preserve">В качестве обосновывающих документов представляются коммерческие предложения, прайс-листы, договоры поставки идентичных строительных материалов и (или) оборудования, необходимые для строительства объекта в рамках заключенного контракта, действующие на дату поставки (предполагаемой поставки) строительных материалов и (или) оборудования, данные торговых площадок. Для подтверждения ценовых показателей позиции перечня строительных </w:t>
      </w:r>
      <w:r>
        <w:lastRenderedPageBreak/>
        <w:t>материалов и (или) оборудования, определенных для проведения расчета, представляется не менее 3 (трех) обосновывающих документов, за исключением случаев, когда материал и (или) оборудование поставляется единственным поставщиком.</w:t>
      </w:r>
    </w:p>
    <w:p w:rsidR="004B0023" w:rsidRDefault="004B0023">
      <w:pPr>
        <w:pStyle w:val="ConsPlusNormal"/>
        <w:spacing w:before="220"/>
        <w:ind w:firstLine="540"/>
        <w:jc w:val="both"/>
      </w:pPr>
      <w:r>
        <w:t>Ценовые показатели строительных материалов и (или) оборудования, используемые при пересчете сметной стоимости, определяются по наиболее экономичному варианту, определенному на основании ценовых показателей строительных материалов и (или) оборудования в представленных обосновывающих документах. При этом под наиболее экономичным вариантом понимается минимальное значение стоимости строительных материалов и (или) оборудования в представленных обосновывающих документах.</w:t>
      </w:r>
    </w:p>
    <w:p w:rsidR="004B0023" w:rsidRDefault="004B0023">
      <w:pPr>
        <w:pStyle w:val="ConsPlusNormal"/>
        <w:spacing w:before="220"/>
        <w:ind w:firstLine="540"/>
        <w:jc w:val="both"/>
      </w:pPr>
      <w:r>
        <w:t>Сметная стоимость строительных материалов и (или) оборудования, принятых в сметной документации по фактической стоимости на основании прейскурантов, коммерческих предложений, прайс-листов, ценовые показатели которых по данным подрядчика не претерпели существенное изменение, определяется путем применения к ценовым показателям таких строительных материалов и (или) оборудования в уровне цен на дату утверждения проектной документации, учтенных в сметной документации, используемой для расчета начальной (максимальной) цены контракта, индекса-дефлятора Министерства экономического развития Российской Федерации по строке "Инвестиции в основной капитал (капитальные вложения)", действующего на дату пересчета сметной документации и рассчитанного для периода с даты утверждения такой проектной документации до даты пересчета сметной стоимости.</w:t>
      </w:r>
    </w:p>
    <w:p w:rsidR="004B0023" w:rsidRDefault="004B0023">
      <w:pPr>
        <w:pStyle w:val="ConsPlusNormal"/>
        <w:spacing w:before="220"/>
        <w:ind w:firstLine="540"/>
        <w:jc w:val="both"/>
      </w:pPr>
      <w:r>
        <w:t>Если для определения начальной (максимальной) цены контракта использовалась сметная документация, сформированная в уровне цен на дату утверждения проектной документации с учетом установленных федеральным законом и принимаемыми в соответствии с ним законами и иными нормативными правовыми актами органов государственной власти субъекта Российской Федерации особенностей ценообразования и сметного нормирования, а также с применением документов в сфере ценообразования и сметного нормирования в области градостроительной деятельности, которые утверждены органами исполнительной власти субъектов Российской Федерации в порядке, установленном до 3 июля 2016 года, в соответствии с частью 1 статьи 3 Федерального закона от 26 июля 2017 г. N 191-ФЗ "О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2017, N 31, ст. 4740; 2019, N 26, ст. 3317) (далее - Федеральный закон N 191-ФЗ), то пересчет сметной стоимости осуществляется в порядке, аналогичном порядку составления сметной документации, используемой для расчета начальной (максимальной) цены контракта.</w:t>
      </w:r>
    </w:p>
    <w:p w:rsidR="004B0023" w:rsidRDefault="004B0023">
      <w:pPr>
        <w:pStyle w:val="ConsPlusNormal"/>
        <w:spacing w:before="220"/>
        <w:ind w:firstLine="540"/>
        <w:jc w:val="both"/>
      </w:pPr>
      <w:r>
        <w:t>б) Осуществляется расчет коэффициента корректировки цены контракта (</w:t>
      </w:r>
      <w:proofErr w:type="spellStart"/>
      <w:r>
        <w:t>К</w:t>
      </w:r>
      <w:r>
        <w:rPr>
          <w:vertAlign w:val="subscript"/>
        </w:rPr>
        <w:t>кор</w:t>
      </w:r>
      <w:proofErr w:type="spellEnd"/>
      <w:r>
        <w:t>), учитывающий рост стоимости работ, вызванный существенным возрастанием стоимости строительных ресурсов, который невозможно было предвидеть при заключении контракта, по формуле:</w:t>
      </w:r>
    </w:p>
    <w:p w:rsidR="004B0023" w:rsidRDefault="004B0023">
      <w:pPr>
        <w:pStyle w:val="ConsPlusNormal"/>
        <w:jc w:val="both"/>
      </w:pPr>
    </w:p>
    <w:p w:rsidR="004B0023" w:rsidRDefault="004B0023">
      <w:pPr>
        <w:pStyle w:val="ConsPlusNormal"/>
        <w:jc w:val="center"/>
      </w:pPr>
      <w:proofErr w:type="spellStart"/>
      <w:r>
        <w:t>К</w:t>
      </w:r>
      <w:r>
        <w:rPr>
          <w:vertAlign w:val="subscript"/>
        </w:rPr>
        <w:t>кор</w:t>
      </w:r>
      <w:proofErr w:type="spellEnd"/>
      <w:r>
        <w:t xml:space="preserve"> = </w:t>
      </w:r>
      <w:proofErr w:type="spellStart"/>
      <w:r>
        <w:t>Ц</w:t>
      </w:r>
      <w:r>
        <w:rPr>
          <w:vertAlign w:val="subscript"/>
        </w:rPr>
        <w:t>нов</w:t>
      </w:r>
      <w:proofErr w:type="spellEnd"/>
      <w:r>
        <w:t xml:space="preserve"> / (</w:t>
      </w:r>
      <w:proofErr w:type="spellStart"/>
      <w:r>
        <w:t>Ц</w:t>
      </w:r>
      <w:r>
        <w:rPr>
          <w:vertAlign w:val="subscript"/>
        </w:rPr>
        <w:t>нмцк</w:t>
      </w:r>
      <w:proofErr w:type="spellEnd"/>
      <w:r>
        <w:t xml:space="preserve"> x </w:t>
      </w:r>
      <w:proofErr w:type="spellStart"/>
      <w:r>
        <w:t>И</w:t>
      </w:r>
      <w:r>
        <w:rPr>
          <w:vertAlign w:val="subscript"/>
        </w:rPr>
        <w:t>деф</w:t>
      </w:r>
      <w:proofErr w:type="spellEnd"/>
      <w:r>
        <w:t>),</w:t>
      </w:r>
    </w:p>
    <w:p w:rsidR="004B0023" w:rsidRDefault="004B0023">
      <w:pPr>
        <w:pStyle w:val="ConsPlusNormal"/>
        <w:jc w:val="both"/>
      </w:pPr>
    </w:p>
    <w:p w:rsidR="004B0023" w:rsidRDefault="004B0023">
      <w:pPr>
        <w:pStyle w:val="ConsPlusNormal"/>
        <w:ind w:firstLine="540"/>
        <w:jc w:val="both"/>
      </w:pPr>
      <w:r>
        <w:t>где:</w:t>
      </w:r>
    </w:p>
    <w:p w:rsidR="004B0023" w:rsidRDefault="004B0023">
      <w:pPr>
        <w:pStyle w:val="ConsPlusNormal"/>
        <w:spacing w:before="220"/>
        <w:ind w:firstLine="540"/>
        <w:jc w:val="both"/>
      </w:pPr>
      <w:proofErr w:type="spellStart"/>
      <w:r>
        <w:t>Ц</w:t>
      </w:r>
      <w:r>
        <w:rPr>
          <w:vertAlign w:val="subscript"/>
        </w:rPr>
        <w:t>нмцк</w:t>
      </w:r>
      <w:proofErr w:type="spellEnd"/>
      <w:r>
        <w:t xml:space="preserve"> - сметная стоимость всех работ, в уровне цен утвержденной проектной документации. Для определения </w:t>
      </w:r>
      <w:proofErr w:type="spellStart"/>
      <w:r>
        <w:t>Ц</w:t>
      </w:r>
      <w:r>
        <w:rPr>
          <w:vertAlign w:val="subscript"/>
        </w:rPr>
        <w:t>нмцк</w:t>
      </w:r>
      <w:proofErr w:type="spellEnd"/>
      <w:r>
        <w:t xml:space="preserve"> используются показатели сметной стоимости, предусмотренные сметной документацией, входящей в состав утвержденной заказчиком проектной документации.</w:t>
      </w:r>
    </w:p>
    <w:p w:rsidR="004B0023" w:rsidRDefault="004B0023">
      <w:pPr>
        <w:pStyle w:val="ConsPlusNormal"/>
        <w:spacing w:before="220"/>
        <w:ind w:firstLine="540"/>
        <w:jc w:val="both"/>
      </w:pPr>
      <w:r>
        <w:t xml:space="preserve">Для объектов, сметная стоимость которых на момент Расчета определена с использованием индекса изменения сметной стоимости по виду объекта, не соответствующему учтенному в сметной документации, использованной при определении НМЦК (по виду объекта, наиболее полно отражающего его специфику), для определения показателя </w:t>
      </w:r>
      <w:proofErr w:type="spellStart"/>
      <w:r>
        <w:t>Ц</w:t>
      </w:r>
      <w:r>
        <w:rPr>
          <w:vertAlign w:val="subscript"/>
        </w:rPr>
        <w:t>нмцк</w:t>
      </w:r>
      <w:proofErr w:type="spellEnd"/>
      <w:r>
        <w:t xml:space="preserve"> осуществляется пересчет из базисного уровня цен (по состоянию на 01.01.2000) в уровень цен на дату первого опубликования Индекса по виду объекта, учитывающего специфику строительства такого объекта и </w:t>
      </w:r>
      <w:r>
        <w:lastRenderedPageBreak/>
        <w:t xml:space="preserve">опубликованного для применения к сметной стоимости, определенной с использованием единичных расценок, в том числе их отдельных составляющих, соответствующих принятым при определении величины индекса для расчета показателя </w:t>
      </w:r>
      <w:proofErr w:type="spellStart"/>
      <w:r>
        <w:t>Ц</w:t>
      </w:r>
      <w:r>
        <w:rPr>
          <w:vertAlign w:val="subscript"/>
        </w:rPr>
        <w:t>нов</w:t>
      </w:r>
      <w:proofErr w:type="spellEnd"/>
      <w:r>
        <w:t>.</w:t>
      </w:r>
    </w:p>
    <w:p w:rsidR="004B0023" w:rsidRDefault="004B0023">
      <w:pPr>
        <w:pStyle w:val="ConsPlusNormal"/>
        <w:spacing w:before="220"/>
        <w:ind w:firstLine="540"/>
        <w:jc w:val="both"/>
      </w:pPr>
      <w:r>
        <w:t xml:space="preserve">Определение показателя </w:t>
      </w:r>
      <w:proofErr w:type="spellStart"/>
      <w:r>
        <w:t>Ц</w:t>
      </w:r>
      <w:r>
        <w:rPr>
          <w:vertAlign w:val="subscript"/>
        </w:rPr>
        <w:t>нмцк</w:t>
      </w:r>
      <w:proofErr w:type="spellEnd"/>
      <w:r>
        <w:t xml:space="preserve"> для субъектов Российской Федерации, в которых после определения НМЦК нормативными правовыми актами высшего органа государственной власти субъекта Российской Федерации части территории таких субъектов Российской Федерации определены как самостоятельные ценовые зоны, или ценовые зоны изменились, осуществляется с использованием индексов, опубликованных Минстроем России для первой ценовой зоны субъекта Российской Федерации.</w:t>
      </w:r>
    </w:p>
    <w:p w:rsidR="004B0023" w:rsidRDefault="004B0023">
      <w:pPr>
        <w:pStyle w:val="ConsPlusNormal"/>
        <w:spacing w:before="220"/>
        <w:ind w:firstLine="540"/>
        <w:jc w:val="both"/>
      </w:pPr>
      <w:proofErr w:type="spellStart"/>
      <w:r>
        <w:t>И</w:t>
      </w:r>
      <w:r>
        <w:rPr>
          <w:vertAlign w:val="subscript"/>
        </w:rPr>
        <w:t>деф</w:t>
      </w:r>
      <w:proofErr w:type="spellEnd"/>
      <w:r>
        <w:t xml:space="preserve"> - индекс-дефлятор Министерства экономического развития Российской Федерации по строке "Инвестиции в основной капитал (капитальные вложения)", действующий на дату определения начальной (максимальной) цены контракта и рассчитываемый для периода с даты, определения показателя </w:t>
      </w:r>
      <w:proofErr w:type="spellStart"/>
      <w:r>
        <w:t>Ц</w:t>
      </w:r>
      <w:r>
        <w:rPr>
          <w:vertAlign w:val="subscript"/>
        </w:rPr>
        <w:t>нмцк</w:t>
      </w:r>
      <w:proofErr w:type="spellEnd"/>
      <w:r>
        <w:t xml:space="preserve"> по дату выполнения Расчета.</w:t>
      </w:r>
    </w:p>
    <w:p w:rsidR="004B0023" w:rsidRDefault="004B0023">
      <w:pPr>
        <w:pStyle w:val="ConsPlusNormal"/>
        <w:spacing w:before="220"/>
        <w:ind w:firstLine="540"/>
        <w:jc w:val="both"/>
      </w:pPr>
      <w:r>
        <w:t>в) Осуществляется расчет новой цены контракта по формуле:</w:t>
      </w:r>
    </w:p>
    <w:p w:rsidR="004B0023" w:rsidRDefault="004B0023">
      <w:pPr>
        <w:pStyle w:val="ConsPlusNormal"/>
        <w:jc w:val="both"/>
      </w:pPr>
    </w:p>
    <w:p w:rsidR="004B0023" w:rsidRDefault="004B0023">
      <w:pPr>
        <w:pStyle w:val="ConsPlusNormal"/>
        <w:jc w:val="center"/>
      </w:pPr>
      <w:proofErr w:type="spellStart"/>
      <w:proofErr w:type="gramStart"/>
      <w:r>
        <w:t>С</w:t>
      </w:r>
      <w:r>
        <w:rPr>
          <w:vertAlign w:val="subscript"/>
        </w:rPr>
        <w:t>н.цена</w:t>
      </w:r>
      <w:proofErr w:type="spellEnd"/>
      <w:proofErr w:type="gramEnd"/>
      <w:r>
        <w:t xml:space="preserve"> = </w:t>
      </w:r>
      <w:proofErr w:type="spellStart"/>
      <w:r>
        <w:t>С</w:t>
      </w:r>
      <w:r>
        <w:rPr>
          <w:vertAlign w:val="subscript"/>
        </w:rPr>
        <w:t>вып.р</w:t>
      </w:r>
      <w:proofErr w:type="spellEnd"/>
      <w:r>
        <w:t xml:space="preserve"> + (</w:t>
      </w:r>
      <w:proofErr w:type="spellStart"/>
      <w:r>
        <w:t>С</w:t>
      </w:r>
      <w:r>
        <w:rPr>
          <w:vertAlign w:val="subscript"/>
        </w:rPr>
        <w:t>сущ.ц</w:t>
      </w:r>
      <w:proofErr w:type="spellEnd"/>
      <w:r>
        <w:t xml:space="preserve"> - С</w:t>
      </w:r>
      <w:r>
        <w:rPr>
          <w:vertAlign w:val="subscript"/>
        </w:rPr>
        <w:t>вып.р1</w:t>
      </w:r>
      <w:r>
        <w:t xml:space="preserve"> -</w:t>
      </w:r>
    </w:p>
    <w:p w:rsidR="004B0023" w:rsidRDefault="004B0023">
      <w:pPr>
        <w:pStyle w:val="ConsPlusNormal"/>
        <w:jc w:val="center"/>
      </w:pPr>
      <w:r>
        <w:t>- С</w:t>
      </w:r>
      <w:r>
        <w:rPr>
          <w:vertAlign w:val="subscript"/>
        </w:rPr>
        <w:t>вып.р2</w:t>
      </w:r>
      <w:r>
        <w:t xml:space="preserve">) x </w:t>
      </w:r>
      <w:proofErr w:type="spellStart"/>
      <w:r>
        <w:t>К</w:t>
      </w:r>
      <w:r>
        <w:rPr>
          <w:vertAlign w:val="subscript"/>
        </w:rPr>
        <w:t>кор</w:t>
      </w:r>
      <w:proofErr w:type="spellEnd"/>
      <w:r>
        <w:t xml:space="preserve"> + </w:t>
      </w:r>
      <w:proofErr w:type="spellStart"/>
      <w:r>
        <w:t>С</w:t>
      </w:r>
      <w:r>
        <w:rPr>
          <w:vertAlign w:val="subscript"/>
        </w:rPr>
        <w:t>в.</w:t>
      </w:r>
      <w:proofErr w:type="gramStart"/>
      <w:r>
        <w:rPr>
          <w:vertAlign w:val="subscript"/>
        </w:rPr>
        <w:t>р.нов</w:t>
      </w:r>
      <w:proofErr w:type="spellEnd"/>
      <w:proofErr w:type="gramEnd"/>
      <w:r>
        <w:t>,</w:t>
      </w:r>
    </w:p>
    <w:p w:rsidR="004B0023" w:rsidRDefault="004B0023">
      <w:pPr>
        <w:pStyle w:val="ConsPlusNormal"/>
        <w:jc w:val="both"/>
      </w:pPr>
    </w:p>
    <w:p w:rsidR="004B0023" w:rsidRDefault="004B0023">
      <w:pPr>
        <w:pStyle w:val="ConsPlusNormal"/>
        <w:ind w:firstLine="540"/>
        <w:jc w:val="both"/>
      </w:pPr>
      <w:r>
        <w:t>где:</w:t>
      </w:r>
    </w:p>
    <w:p w:rsidR="004B0023" w:rsidRDefault="004B0023">
      <w:pPr>
        <w:pStyle w:val="ConsPlusNormal"/>
        <w:spacing w:before="220"/>
        <w:ind w:firstLine="540"/>
        <w:jc w:val="both"/>
      </w:pPr>
      <w:proofErr w:type="spellStart"/>
      <w:proofErr w:type="gramStart"/>
      <w:r>
        <w:t>С</w:t>
      </w:r>
      <w:r>
        <w:rPr>
          <w:vertAlign w:val="subscript"/>
        </w:rPr>
        <w:t>н.цена</w:t>
      </w:r>
      <w:proofErr w:type="spellEnd"/>
      <w:proofErr w:type="gramEnd"/>
      <w:r>
        <w:t xml:space="preserve"> - цена работ по новой (откорректированной) смете контракта в уровне цен исполнения контракта;</w:t>
      </w:r>
    </w:p>
    <w:p w:rsidR="004B0023" w:rsidRDefault="004B0023">
      <w:pPr>
        <w:pStyle w:val="ConsPlusNormal"/>
        <w:spacing w:before="220"/>
        <w:ind w:firstLine="540"/>
        <w:jc w:val="both"/>
      </w:pPr>
      <w:r>
        <w:t>С</w:t>
      </w:r>
      <w:r>
        <w:rPr>
          <w:vertAlign w:val="subscript"/>
        </w:rPr>
        <w:t>вып.р1</w:t>
      </w:r>
      <w:r>
        <w:t xml:space="preserve"> - цена выполненных и принятых заказчиком на дату представления Расчета работ по действующей смете контракта в уровне цен исполнения контракта;</w:t>
      </w:r>
    </w:p>
    <w:p w:rsidR="004B0023" w:rsidRDefault="004B0023">
      <w:pPr>
        <w:pStyle w:val="ConsPlusNormal"/>
        <w:spacing w:before="220"/>
        <w:ind w:firstLine="540"/>
        <w:jc w:val="both"/>
      </w:pPr>
      <w:proofErr w:type="spellStart"/>
      <w:r>
        <w:t>С</w:t>
      </w:r>
      <w:r>
        <w:rPr>
          <w:vertAlign w:val="subscript"/>
        </w:rPr>
        <w:t>сущ.ц</w:t>
      </w:r>
      <w:proofErr w:type="spellEnd"/>
      <w:r>
        <w:t xml:space="preserve"> - цена работ по действующей смете контракта в уровне цен исполнения контракта;</w:t>
      </w:r>
    </w:p>
    <w:p w:rsidR="004B0023" w:rsidRDefault="004B0023">
      <w:pPr>
        <w:pStyle w:val="ConsPlusNormal"/>
        <w:spacing w:before="220"/>
        <w:ind w:firstLine="540"/>
        <w:jc w:val="both"/>
      </w:pPr>
      <w:r>
        <w:t>С</w:t>
      </w:r>
      <w:r>
        <w:rPr>
          <w:vertAlign w:val="subscript"/>
        </w:rPr>
        <w:t>вып.р2</w:t>
      </w:r>
      <w:r>
        <w:t xml:space="preserve"> - цена работ, выполненных и принятых заказчиком в период от даты выполнения Расчета до даты заключения дополнительного соглашения об изменении цены контракта, по действующей смете контракта в уровне цен исполнения контракта;</w:t>
      </w:r>
    </w:p>
    <w:p w:rsidR="004B0023" w:rsidRDefault="004B0023">
      <w:pPr>
        <w:pStyle w:val="ConsPlusNormal"/>
        <w:spacing w:before="220"/>
        <w:ind w:firstLine="540"/>
        <w:jc w:val="both"/>
      </w:pPr>
      <w:proofErr w:type="spellStart"/>
      <w:r>
        <w:t>С</w:t>
      </w:r>
      <w:r>
        <w:rPr>
          <w:vertAlign w:val="subscript"/>
        </w:rPr>
        <w:t>в.</w:t>
      </w:r>
      <w:proofErr w:type="gramStart"/>
      <w:r>
        <w:rPr>
          <w:vertAlign w:val="subscript"/>
        </w:rPr>
        <w:t>р.нов</w:t>
      </w:r>
      <w:proofErr w:type="spellEnd"/>
      <w:proofErr w:type="gramEnd"/>
      <w:r>
        <w:t xml:space="preserve"> - откорректированная цена работ, выполненных подрядчиком и оплаченных заказчиком в период от даты выполнения Расчета до даты заключения дополнительного соглашения об изменении цены контракта, руб.</w:t>
      </w:r>
    </w:p>
    <w:p w:rsidR="004B0023" w:rsidRDefault="004B0023">
      <w:pPr>
        <w:pStyle w:val="ConsPlusNormal"/>
        <w:spacing w:before="220"/>
        <w:ind w:firstLine="540"/>
        <w:jc w:val="both"/>
      </w:pPr>
      <w:r>
        <w:t>г) Осуществляется корректировка сметы контракта с учетом рассчитанного коэффициента корректировки цены контракта (</w:t>
      </w:r>
      <w:proofErr w:type="spellStart"/>
      <w:r>
        <w:t>К</w:t>
      </w:r>
      <w:r>
        <w:rPr>
          <w:vertAlign w:val="subscript"/>
        </w:rPr>
        <w:t>кор</w:t>
      </w:r>
      <w:proofErr w:type="spellEnd"/>
      <w:r>
        <w:t>) и пересчет остатков работ, не принятых заказчиком на дату выполнения Расчета. Пересчет остатков осуществляется путем умножения показателя цены работ на единицу измерения сметы контракта по оставшимся работам на коэффициент корректировки цены контракта (</w:t>
      </w:r>
      <w:proofErr w:type="spellStart"/>
      <w:r>
        <w:t>К</w:t>
      </w:r>
      <w:r>
        <w:rPr>
          <w:vertAlign w:val="subscript"/>
        </w:rPr>
        <w:t>кор</w:t>
      </w:r>
      <w:proofErr w:type="spellEnd"/>
      <w:r>
        <w:t>). После утверждения заказчиком откорректированной сметы контракта заключается дополнительное соглашение об утверждении новой цены контракта.</w:t>
      </w:r>
    </w:p>
    <w:p w:rsidR="004B0023" w:rsidRDefault="004B0023">
      <w:pPr>
        <w:pStyle w:val="ConsPlusNormal"/>
        <w:spacing w:before="220"/>
        <w:ind w:firstLine="540"/>
        <w:jc w:val="both"/>
      </w:pPr>
      <w:r>
        <w:t>д) Приемка выполненных работ осуществляется на основании откорректированной сметы контракта в порядке, предусмотренном условиями контракта. Стоимость работ, выполненных подрядчиком и оплаченных заказчиком в период от даты выполнения Расчета до даты заключения дополнительного соглашения об изменении цены контракта, также подлежит корректировке.</w:t>
      </w:r>
    </w:p>
    <w:p w:rsidR="004B0023" w:rsidRDefault="004B0023">
      <w:pPr>
        <w:pStyle w:val="ConsPlusNormal"/>
        <w:spacing w:before="220"/>
        <w:ind w:firstLine="540"/>
        <w:jc w:val="both"/>
      </w:pPr>
      <w:r>
        <w:t>Пересчет стоимости работ, выполненных в период от даты выполнения Расчета до даты заключения дополнительного соглашения об изменении цены контракта работ, осуществляется по формуле:</w:t>
      </w:r>
    </w:p>
    <w:p w:rsidR="004B0023" w:rsidRDefault="004B0023">
      <w:pPr>
        <w:pStyle w:val="ConsPlusNormal"/>
        <w:jc w:val="both"/>
      </w:pPr>
    </w:p>
    <w:p w:rsidR="004B0023" w:rsidRDefault="004B0023">
      <w:pPr>
        <w:pStyle w:val="ConsPlusNormal"/>
        <w:jc w:val="center"/>
      </w:pPr>
      <w:proofErr w:type="spellStart"/>
      <w:r>
        <w:t>С</w:t>
      </w:r>
      <w:r>
        <w:rPr>
          <w:vertAlign w:val="subscript"/>
        </w:rPr>
        <w:t>в.</w:t>
      </w:r>
      <w:proofErr w:type="gramStart"/>
      <w:r>
        <w:rPr>
          <w:vertAlign w:val="subscript"/>
        </w:rPr>
        <w:t>р.нов</w:t>
      </w:r>
      <w:proofErr w:type="spellEnd"/>
      <w:proofErr w:type="gramEnd"/>
      <w:r>
        <w:t xml:space="preserve"> = </w:t>
      </w:r>
      <w:proofErr w:type="spellStart"/>
      <w:r>
        <w:t>Ц</w:t>
      </w:r>
      <w:r>
        <w:rPr>
          <w:vertAlign w:val="subscript"/>
        </w:rPr>
        <w:t>ед.акт</w:t>
      </w:r>
      <w:proofErr w:type="spellEnd"/>
      <w:r>
        <w:t xml:space="preserve"> x </w:t>
      </w:r>
      <w:proofErr w:type="spellStart"/>
      <w:r>
        <w:t>К</w:t>
      </w:r>
      <w:r>
        <w:rPr>
          <w:vertAlign w:val="subscript"/>
        </w:rPr>
        <w:t>кор</w:t>
      </w:r>
      <w:proofErr w:type="spellEnd"/>
      <w:r>
        <w:t xml:space="preserve"> x </w:t>
      </w:r>
      <w:proofErr w:type="spellStart"/>
      <w:r>
        <w:t>V</w:t>
      </w:r>
      <w:r>
        <w:rPr>
          <w:vertAlign w:val="subscript"/>
        </w:rPr>
        <w:t>вып</w:t>
      </w:r>
      <w:proofErr w:type="spellEnd"/>
    </w:p>
    <w:p w:rsidR="004B0023" w:rsidRDefault="004B0023">
      <w:pPr>
        <w:pStyle w:val="ConsPlusNormal"/>
        <w:jc w:val="both"/>
      </w:pPr>
    </w:p>
    <w:p w:rsidR="004B0023" w:rsidRDefault="004B0023">
      <w:pPr>
        <w:pStyle w:val="ConsPlusNormal"/>
        <w:ind w:firstLine="540"/>
        <w:jc w:val="both"/>
      </w:pPr>
      <w:r>
        <w:t>где:</w:t>
      </w:r>
    </w:p>
    <w:p w:rsidR="004B0023" w:rsidRDefault="004B0023">
      <w:pPr>
        <w:pStyle w:val="ConsPlusNormal"/>
        <w:spacing w:before="220"/>
        <w:ind w:firstLine="540"/>
        <w:jc w:val="both"/>
      </w:pPr>
      <w:proofErr w:type="spellStart"/>
      <w:r>
        <w:t>Ц</w:t>
      </w:r>
      <w:r>
        <w:rPr>
          <w:vertAlign w:val="subscript"/>
        </w:rPr>
        <w:t>ед.акт</w:t>
      </w:r>
      <w:proofErr w:type="spellEnd"/>
      <w:r>
        <w:t xml:space="preserve"> - цена единицы i-</w:t>
      </w:r>
      <w:proofErr w:type="spellStart"/>
      <w:r>
        <w:t>го</w:t>
      </w:r>
      <w:proofErr w:type="spellEnd"/>
      <w:r>
        <w:t xml:space="preserve"> конструктивного решения (элемента) и (или) комплекса (вида) работ, принятая в корректируемом акте сдачи - приемки выполненных работ, руб.;</w:t>
      </w:r>
    </w:p>
    <w:p w:rsidR="004B0023" w:rsidRDefault="004B0023">
      <w:pPr>
        <w:pStyle w:val="ConsPlusNormal"/>
        <w:spacing w:before="220"/>
        <w:ind w:firstLine="540"/>
        <w:jc w:val="both"/>
      </w:pPr>
      <w:proofErr w:type="spellStart"/>
      <w:r>
        <w:t>К</w:t>
      </w:r>
      <w:r>
        <w:rPr>
          <w:vertAlign w:val="subscript"/>
        </w:rPr>
        <w:t>кор</w:t>
      </w:r>
      <w:proofErr w:type="spellEnd"/>
      <w:r>
        <w:t xml:space="preserve"> - коэффициент корректировки цены контракта, рассчитанный в соответствии с подпунктом "б" настоящего пункта.</w:t>
      </w:r>
    </w:p>
    <w:p w:rsidR="004B0023" w:rsidRDefault="004B0023">
      <w:pPr>
        <w:pStyle w:val="ConsPlusNormal"/>
        <w:spacing w:before="220"/>
        <w:ind w:firstLine="540"/>
        <w:jc w:val="both"/>
      </w:pPr>
      <w:proofErr w:type="spellStart"/>
      <w:r>
        <w:t>V</w:t>
      </w:r>
      <w:r>
        <w:rPr>
          <w:vertAlign w:val="subscript"/>
        </w:rPr>
        <w:t>вып</w:t>
      </w:r>
      <w:proofErr w:type="spellEnd"/>
      <w:r>
        <w:t xml:space="preserve"> - объем выполненных, принятых заказчиком и подлежащих оплате работ по i-</w:t>
      </w:r>
      <w:proofErr w:type="spellStart"/>
      <w:r>
        <w:t>му</w:t>
      </w:r>
      <w:proofErr w:type="spellEnd"/>
      <w:r>
        <w:t xml:space="preserve"> конструктивному решению (элементу) и (или) комплексу (виду) работ в принятых измерителях. Объем работ по откорректированному акту сдачи-приемки выполненных работ должен соответствовать объему работ, приведенному в корректируемом акте.</w:t>
      </w:r>
    </w:p>
    <w:p w:rsidR="004B0023" w:rsidRDefault="004B0023">
      <w:pPr>
        <w:pStyle w:val="ConsPlusNormal"/>
        <w:spacing w:before="220"/>
        <w:ind w:firstLine="540"/>
        <w:jc w:val="both"/>
      </w:pPr>
      <w:r>
        <w:t>14.3. Для контрактов, цена которых составляет или превышает 100 млн. руб., сметная документация, пересчитанная в соответствии с подпунктом "а" пункта 14.2 настоящей Методики, направляется заявителем (техническим заказчиком, застройщиком или уполномоченным кем-либо из них лицом) в уполномоченную организацию по проведению государственной экспертизы для проведения повторной государственной экспертизы проектной документации в части проверки достоверности определения сметной стоимости в соответствии с пунктом 45(14)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(далее - Постановление N 145).</w:t>
      </w:r>
    </w:p>
    <w:p w:rsidR="004B0023" w:rsidRDefault="004B0023">
      <w:pPr>
        <w:pStyle w:val="ConsPlusNormal"/>
        <w:spacing w:before="220"/>
        <w:ind w:firstLine="540"/>
        <w:jc w:val="both"/>
      </w:pPr>
      <w:r>
        <w:t>При формировании комплекта сметной документации, подлежащей направлению в уполномоченную организацию по проведению государственной экспертизы для проведения повторной государственной экспертизы проектной документации в части проверки достоверности определения сметной стоимости, в состав сводного сметного расчета стоимости строительства включаются затраты на проведение такой экспертизы.</w:t>
      </w:r>
    </w:p>
    <w:p w:rsidR="004B0023" w:rsidRDefault="004B0023">
      <w:pPr>
        <w:pStyle w:val="ConsPlusNormal"/>
        <w:spacing w:before="220"/>
        <w:ind w:firstLine="540"/>
        <w:jc w:val="both"/>
      </w:pPr>
      <w:r>
        <w:t>Расчет коэффициента корректировки цены контракта (</w:t>
      </w:r>
      <w:proofErr w:type="spellStart"/>
      <w:r>
        <w:t>К</w:t>
      </w:r>
      <w:r>
        <w:rPr>
          <w:vertAlign w:val="subscript"/>
        </w:rPr>
        <w:t>кор</w:t>
      </w:r>
      <w:proofErr w:type="spellEnd"/>
      <w:r>
        <w:t>) и новой цены контракта (</w:t>
      </w:r>
      <w:proofErr w:type="spellStart"/>
      <w:proofErr w:type="gramStart"/>
      <w:r>
        <w:t>С</w:t>
      </w:r>
      <w:r>
        <w:rPr>
          <w:vertAlign w:val="subscript"/>
        </w:rPr>
        <w:t>н.цена</w:t>
      </w:r>
      <w:proofErr w:type="spellEnd"/>
      <w:proofErr w:type="gramEnd"/>
      <w:r>
        <w:t>) осуществляется в соответствии с подпунктами "б" и "в" пункта 14.2 Методики после получения положительного заключения уполномоченной организации по проведению государственной экспертизы.</w:t>
      </w:r>
    </w:p>
    <w:p w:rsidR="004B0023" w:rsidRDefault="004B0023">
      <w:pPr>
        <w:pStyle w:val="ConsPlusNormal"/>
        <w:spacing w:before="220"/>
        <w:ind w:firstLine="540"/>
        <w:jc w:val="both"/>
      </w:pPr>
      <w:r>
        <w:t>Корректировка сметы контракта, пересчет остатков работ, не принятых заказчиком на дату выполнения Расчета, а также пересчет стоимости работ, выполненных в период от даты выполнения Расчета до даты заключения дополнительного соглашения об изменении цены контракта работ, осуществляется в соответствии с подпунктами "г" и "д" пункта 14.2 Методики.</w:t>
      </w:r>
    </w:p>
    <w:p w:rsidR="004B0023" w:rsidRDefault="004B0023">
      <w:pPr>
        <w:pStyle w:val="ConsPlusNormal"/>
        <w:spacing w:before="220"/>
        <w:ind w:firstLine="540"/>
        <w:jc w:val="both"/>
      </w:pPr>
      <w:r>
        <w:t>При внесении изменений в смету контракта в связи с существенным ростом цен на строительные ресурсы, цена которых не превышает 100 млн. руб., не требуется внесение изменений в сметную документацию, разработанную в составе проектной документации по объекту.</w:t>
      </w:r>
    </w:p>
    <w:p w:rsidR="004B0023" w:rsidRDefault="004B0023">
      <w:pPr>
        <w:pStyle w:val="ConsPlusNormal"/>
        <w:spacing w:before="220"/>
        <w:ind w:firstLine="540"/>
        <w:jc w:val="both"/>
      </w:pPr>
      <w:r>
        <w:t xml:space="preserve">В случае установления особенностей ценообразования и сметного нормирования федеральным законом и принимаемыми в соответствии с ним законами и иными нормативными правовыми актами субъекта Российской Федерации </w:t>
      </w:r>
      <w:proofErr w:type="spellStart"/>
      <w:proofErr w:type="gramStart"/>
      <w:r>
        <w:t>С</w:t>
      </w:r>
      <w:r>
        <w:rPr>
          <w:vertAlign w:val="subscript"/>
        </w:rPr>
        <w:t>н.цена</w:t>
      </w:r>
      <w:proofErr w:type="spellEnd"/>
      <w:proofErr w:type="gramEnd"/>
      <w:r>
        <w:t xml:space="preserve"> определяется в порядке, установленном нормативным правовым актом субъекта Российской Федерации.</w:t>
      </w:r>
    </w:p>
    <w:p w:rsidR="004B0023" w:rsidRDefault="004B0023">
      <w:pPr>
        <w:pStyle w:val="ConsPlusNormal"/>
        <w:spacing w:before="220"/>
        <w:ind w:firstLine="540"/>
        <w:jc w:val="both"/>
      </w:pPr>
      <w:r>
        <w:t>3. Дополнить Приложением N 3 в редакции согласно Приложению к настоящим изменениям.</w:t>
      </w:r>
    </w:p>
    <w:p w:rsidR="004B0023" w:rsidRDefault="004B0023">
      <w:pPr>
        <w:pStyle w:val="ConsPlusNormal"/>
        <w:jc w:val="both"/>
      </w:pPr>
    </w:p>
    <w:p w:rsidR="004B0023" w:rsidRDefault="004B0023">
      <w:pPr>
        <w:pStyle w:val="ConsPlusNormal"/>
        <w:jc w:val="both"/>
      </w:pPr>
    </w:p>
    <w:p w:rsidR="004B0023" w:rsidRDefault="004B0023">
      <w:pPr>
        <w:pStyle w:val="ConsPlusNormal"/>
        <w:jc w:val="both"/>
      </w:pPr>
    </w:p>
    <w:p w:rsidR="004B0023" w:rsidRDefault="004B0023">
      <w:pPr>
        <w:pStyle w:val="ConsPlusNormal"/>
        <w:jc w:val="both"/>
      </w:pPr>
    </w:p>
    <w:p w:rsidR="004B0023" w:rsidRDefault="004B0023">
      <w:pPr>
        <w:pStyle w:val="ConsPlusNormal"/>
        <w:jc w:val="both"/>
      </w:pPr>
    </w:p>
    <w:p w:rsidR="004B0023" w:rsidRDefault="004B0023">
      <w:pPr>
        <w:pStyle w:val="ConsPlusNormal"/>
        <w:jc w:val="right"/>
        <w:outlineLvl w:val="1"/>
      </w:pPr>
      <w:r>
        <w:t>Приложение</w:t>
      </w:r>
    </w:p>
    <w:p w:rsidR="004B0023" w:rsidRDefault="004B0023">
      <w:pPr>
        <w:pStyle w:val="ConsPlusNormal"/>
        <w:jc w:val="right"/>
      </w:pPr>
      <w:r>
        <w:t>к изменениям, которые вносятся</w:t>
      </w:r>
    </w:p>
    <w:p w:rsidR="004B0023" w:rsidRDefault="004B0023">
      <w:pPr>
        <w:pStyle w:val="ConsPlusNormal"/>
        <w:jc w:val="right"/>
      </w:pPr>
      <w:r>
        <w:t>в приказ Министерства строительства</w:t>
      </w:r>
    </w:p>
    <w:p w:rsidR="004B0023" w:rsidRDefault="004B0023">
      <w:pPr>
        <w:pStyle w:val="ConsPlusNormal"/>
        <w:jc w:val="right"/>
      </w:pPr>
      <w:r>
        <w:t>и жилищно-коммунального хозяйства</w:t>
      </w:r>
    </w:p>
    <w:p w:rsidR="004B0023" w:rsidRDefault="004B0023">
      <w:pPr>
        <w:pStyle w:val="ConsPlusNormal"/>
        <w:jc w:val="right"/>
      </w:pPr>
      <w:r>
        <w:t>Российской Федерации</w:t>
      </w:r>
    </w:p>
    <w:p w:rsidR="004B0023" w:rsidRDefault="004B0023">
      <w:pPr>
        <w:pStyle w:val="ConsPlusNormal"/>
        <w:jc w:val="right"/>
      </w:pPr>
      <w:r>
        <w:t>от 23 декабря 2019 г. N 841/</w:t>
      </w:r>
      <w:proofErr w:type="spellStart"/>
      <w:r>
        <w:t>пр</w:t>
      </w:r>
      <w:proofErr w:type="spellEnd"/>
    </w:p>
    <w:p w:rsidR="004B0023" w:rsidRDefault="004B0023">
      <w:pPr>
        <w:pStyle w:val="ConsPlusNormal"/>
        <w:jc w:val="both"/>
      </w:pPr>
    </w:p>
    <w:p w:rsidR="004B0023" w:rsidRDefault="004B0023">
      <w:pPr>
        <w:pStyle w:val="ConsPlusNormal"/>
        <w:jc w:val="right"/>
      </w:pPr>
      <w:r>
        <w:t>"Приложение N 3</w:t>
      </w:r>
    </w:p>
    <w:p w:rsidR="004B0023" w:rsidRDefault="004B0023">
      <w:pPr>
        <w:pStyle w:val="ConsPlusNormal"/>
        <w:jc w:val="right"/>
      </w:pPr>
      <w:r>
        <w:t>к Методике составления сметы</w:t>
      </w:r>
    </w:p>
    <w:p w:rsidR="004B0023" w:rsidRDefault="004B0023">
      <w:pPr>
        <w:pStyle w:val="ConsPlusNormal"/>
        <w:jc w:val="right"/>
      </w:pPr>
      <w:r>
        <w:t>контракта, предметом которого</w:t>
      </w:r>
    </w:p>
    <w:p w:rsidR="004B0023" w:rsidRDefault="004B0023">
      <w:pPr>
        <w:pStyle w:val="ConsPlusNormal"/>
        <w:jc w:val="right"/>
      </w:pPr>
      <w:r>
        <w:t>являются строительство, реконструкция</w:t>
      </w:r>
    </w:p>
    <w:p w:rsidR="004B0023" w:rsidRDefault="004B0023">
      <w:pPr>
        <w:pStyle w:val="ConsPlusNormal"/>
        <w:jc w:val="right"/>
      </w:pPr>
      <w:r>
        <w:t>объектов капитального строительства,</w:t>
      </w:r>
    </w:p>
    <w:p w:rsidR="004B0023" w:rsidRDefault="004B0023">
      <w:pPr>
        <w:pStyle w:val="ConsPlusNormal"/>
        <w:jc w:val="right"/>
      </w:pPr>
      <w:r>
        <w:t>утвержденной приказом</w:t>
      </w:r>
    </w:p>
    <w:p w:rsidR="004B0023" w:rsidRDefault="004B0023">
      <w:pPr>
        <w:pStyle w:val="ConsPlusNormal"/>
        <w:jc w:val="right"/>
      </w:pPr>
      <w:r>
        <w:t>Министерства строительства</w:t>
      </w:r>
    </w:p>
    <w:p w:rsidR="004B0023" w:rsidRDefault="004B0023">
      <w:pPr>
        <w:pStyle w:val="ConsPlusNormal"/>
        <w:jc w:val="right"/>
      </w:pPr>
      <w:r>
        <w:t>и жилищно-коммунального хозяйства</w:t>
      </w:r>
    </w:p>
    <w:p w:rsidR="004B0023" w:rsidRDefault="004B0023">
      <w:pPr>
        <w:pStyle w:val="ConsPlusNormal"/>
        <w:jc w:val="right"/>
      </w:pPr>
      <w:r>
        <w:t>Российской Федерации</w:t>
      </w:r>
    </w:p>
    <w:p w:rsidR="004B0023" w:rsidRDefault="004B0023">
      <w:pPr>
        <w:pStyle w:val="ConsPlusNormal"/>
        <w:jc w:val="right"/>
      </w:pPr>
      <w:r>
        <w:t>от 23 декабря 2019 г. N 841/</w:t>
      </w:r>
      <w:proofErr w:type="spellStart"/>
      <w:r>
        <w:t>пр</w:t>
      </w:r>
      <w:proofErr w:type="spellEnd"/>
    </w:p>
    <w:p w:rsidR="004B0023" w:rsidRDefault="004B0023">
      <w:pPr>
        <w:pStyle w:val="ConsPlusNormal"/>
        <w:jc w:val="both"/>
      </w:pPr>
    </w:p>
    <w:p w:rsidR="004B0023" w:rsidRDefault="004B0023">
      <w:pPr>
        <w:pStyle w:val="ConsPlusNormal"/>
        <w:jc w:val="right"/>
      </w:pPr>
      <w:r>
        <w:t>(рекомендуемый образец)</w:t>
      </w:r>
    </w:p>
    <w:p w:rsidR="004B0023" w:rsidRDefault="004B00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B0023">
        <w:tc>
          <w:tcPr>
            <w:tcW w:w="9071" w:type="dxa"/>
            <w:tcBorders>
              <w:top w:val="nil"/>
              <w:left w:val="nil"/>
              <w:bottom w:val="nil"/>
              <w:right w:val="nil"/>
            </w:tcBorders>
          </w:tcPr>
          <w:p w:rsidR="004B0023" w:rsidRDefault="004B0023">
            <w:pPr>
              <w:pStyle w:val="ConsPlusNormal"/>
              <w:jc w:val="center"/>
            </w:pPr>
            <w:r>
              <w:t>Расчет</w:t>
            </w:r>
          </w:p>
          <w:p w:rsidR="004B0023" w:rsidRDefault="004B0023">
            <w:pPr>
              <w:pStyle w:val="ConsPlusNormal"/>
              <w:jc w:val="center"/>
            </w:pPr>
            <w:r>
              <w:t>по договору от _______ N ___ на выполнение работ "__________"</w:t>
            </w:r>
          </w:p>
        </w:tc>
      </w:tr>
    </w:tbl>
    <w:p w:rsidR="004B0023" w:rsidRDefault="004B0023">
      <w:pPr>
        <w:pStyle w:val="ConsPlusNormal"/>
        <w:jc w:val="both"/>
      </w:pPr>
    </w:p>
    <w:p w:rsidR="004B0023" w:rsidRDefault="004B0023">
      <w:pPr>
        <w:sectPr w:rsidR="004B0023" w:rsidSect="000647D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510"/>
        <w:gridCol w:w="794"/>
        <w:gridCol w:w="1020"/>
        <w:gridCol w:w="680"/>
        <w:gridCol w:w="567"/>
        <w:gridCol w:w="1304"/>
        <w:gridCol w:w="964"/>
        <w:gridCol w:w="794"/>
        <w:gridCol w:w="897"/>
        <w:gridCol w:w="737"/>
        <w:gridCol w:w="850"/>
      </w:tblGrid>
      <w:tr w:rsidR="004B0023">
        <w:tc>
          <w:tcPr>
            <w:tcW w:w="1361" w:type="dxa"/>
            <w:vMerge w:val="restart"/>
          </w:tcPr>
          <w:p w:rsidR="004B0023" w:rsidRDefault="004B0023">
            <w:pPr>
              <w:pStyle w:val="ConsPlusNormal"/>
              <w:jc w:val="center"/>
            </w:pPr>
            <w:r>
              <w:lastRenderedPageBreak/>
              <w:t>Стоимость по договору (</w:t>
            </w:r>
            <w:proofErr w:type="spellStart"/>
            <w:r>
              <w:t>С</w:t>
            </w:r>
            <w:r>
              <w:rPr>
                <w:vertAlign w:val="subscript"/>
              </w:rPr>
              <w:t>сущ.цена</w:t>
            </w:r>
            <w:proofErr w:type="spellEnd"/>
            <w:r>
              <w:t>), руб. с НДС</w:t>
            </w:r>
          </w:p>
        </w:tc>
        <w:tc>
          <w:tcPr>
            <w:tcW w:w="3571" w:type="dxa"/>
            <w:gridSpan w:val="5"/>
          </w:tcPr>
          <w:p w:rsidR="004B0023" w:rsidRDefault="004B0023">
            <w:pPr>
              <w:pStyle w:val="ConsPlusNormal"/>
              <w:jc w:val="center"/>
            </w:pPr>
            <w:r>
              <w:t>Ценообразующие строительные материалы и (или) оборудование, закупка которых не осуществлена</w:t>
            </w:r>
          </w:p>
        </w:tc>
        <w:tc>
          <w:tcPr>
            <w:tcW w:w="2268" w:type="dxa"/>
            <w:gridSpan w:val="2"/>
          </w:tcPr>
          <w:p w:rsidR="004B0023" w:rsidRDefault="004B0023">
            <w:pPr>
              <w:pStyle w:val="ConsPlusNormal"/>
              <w:jc w:val="center"/>
            </w:pPr>
            <w:r>
              <w:t>Стоимость за единицу измерения, указанную в столбце 5, руб. с НДС</w:t>
            </w:r>
          </w:p>
        </w:tc>
        <w:tc>
          <w:tcPr>
            <w:tcW w:w="1691" w:type="dxa"/>
            <w:gridSpan w:val="2"/>
          </w:tcPr>
          <w:p w:rsidR="004B0023" w:rsidRDefault="004B0023">
            <w:pPr>
              <w:pStyle w:val="ConsPlusNormal"/>
              <w:jc w:val="center"/>
            </w:pPr>
            <w:r>
              <w:t>Отклонение стоимости на дату проведения расчета от стоимости на дату заключения контракта</w:t>
            </w:r>
          </w:p>
        </w:tc>
        <w:tc>
          <w:tcPr>
            <w:tcW w:w="1587" w:type="dxa"/>
            <w:gridSpan w:val="2"/>
          </w:tcPr>
          <w:p w:rsidR="004B0023" w:rsidRDefault="004B0023">
            <w:pPr>
              <w:pStyle w:val="ConsPlusNormal"/>
              <w:jc w:val="center"/>
            </w:pPr>
            <w:r>
              <w:t>Изменение стоимости по договору</w:t>
            </w:r>
          </w:p>
        </w:tc>
      </w:tr>
      <w:tr w:rsidR="004B0023">
        <w:tc>
          <w:tcPr>
            <w:tcW w:w="1361" w:type="dxa"/>
            <w:vMerge/>
          </w:tcPr>
          <w:p w:rsidR="004B0023" w:rsidRDefault="004B0023"/>
        </w:tc>
        <w:tc>
          <w:tcPr>
            <w:tcW w:w="510" w:type="dxa"/>
          </w:tcPr>
          <w:p w:rsidR="004B0023" w:rsidRDefault="004B0023">
            <w:pPr>
              <w:pStyle w:val="ConsPlusNormal"/>
              <w:jc w:val="center"/>
            </w:pPr>
            <w:r>
              <w:t>N п/п</w:t>
            </w:r>
          </w:p>
        </w:tc>
        <w:tc>
          <w:tcPr>
            <w:tcW w:w="794" w:type="dxa"/>
          </w:tcPr>
          <w:p w:rsidR="004B0023" w:rsidRDefault="004B0023">
            <w:pPr>
              <w:pStyle w:val="ConsPlusNormal"/>
              <w:jc w:val="center"/>
            </w:pPr>
            <w:r>
              <w:t>код КСР</w:t>
            </w:r>
          </w:p>
        </w:tc>
        <w:tc>
          <w:tcPr>
            <w:tcW w:w="1020" w:type="dxa"/>
          </w:tcPr>
          <w:p w:rsidR="004B0023" w:rsidRDefault="004B0023">
            <w:pPr>
              <w:pStyle w:val="ConsPlusNormal"/>
              <w:jc w:val="center"/>
            </w:pPr>
            <w:r>
              <w:t>наименование</w:t>
            </w:r>
          </w:p>
        </w:tc>
        <w:tc>
          <w:tcPr>
            <w:tcW w:w="680" w:type="dxa"/>
          </w:tcPr>
          <w:p w:rsidR="004B0023" w:rsidRDefault="004B0023">
            <w:pPr>
              <w:pStyle w:val="ConsPlusNormal"/>
              <w:jc w:val="center"/>
            </w:pPr>
            <w:r>
              <w:t>ед. изм.</w:t>
            </w:r>
          </w:p>
        </w:tc>
        <w:tc>
          <w:tcPr>
            <w:tcW w:w="567" w:type="dxa"/>
          </w:tcPr>
          <w:p w:rsidR="004B0023" w:rsidRDefault="004B0023">
            <w:pPr>
              <w:pStyle w:val="ConsPlusNormal"/>
              <w:jc w:val="center"/>
            </w:pPr>
            <w:r>
              <w:t>кол-во</w:t>
            </w:r>
          </w:p>
        </w:tc>
        <w:tc>
          <w:tcPr>
            <w:tcW w:w="1304" w:type="dxa"/>
          </w:tcPr>
          <w:p w:rsidR="004B0023" w:rsidRDefault="004B0023">
            <w:pPr>
              <w:pStyle w:val="ConsPlusNormal"/>
              <w:jc w:val="center"/>
            </w:pPr>
            <w:r>
              <w:t>на дату заключения контракта &lt;*&gt;</w:t>
            </w:r>
          </w:p>
        </w:tc>
        <w:tc>
          <w:tcPr>
            <w:tcW w:w="964" w:type="dxa"/>
          </w:tcPr>
          <w:p w:rsidR="004B0023" w:rsidRDefault="004B0023">
            <w:pPr>
              <w:pStyle w:val="ConsPlusNormal"/>
              <w:jc w:val="center"/>
            </w:pPr>
            <w:r>
              <w:t>на дату проведения расчета</w:t>
            </w:r>
          </w:p>
        </w:tc>
        <w:tc>
          <w:tcPr>
            <w:tcW w:w="794" w:type="dxa"/>
          </w:tcPr>
          <w:p w:rsidR="004B0023" w:rsidRDefault="004B0023">
            <w:pPr>
              <w:pStyle w:val="ConsPlusNormal"/>
              <w:jc w:val="center"/>
            </w:pPr>
            <w:r>
              <w:t>руб. с НДС</w:t>
            </w:r>
          </w:p>
        </w:tc>
        <w:tc>
          <w:tcPr>
            <w:tcW w:w="897" w:type="dxa"/>
          </w:tcPr>
          <w:p w:rsidR="004B0023" w:rsidRDefault="004B0023">
            <w:pPr>
              <w:pStyle w:val="ConsPlusNormal"/>
              <w:jc w:val="center"/>
            </w:pPr>
            <w:r>
              <w:t>%</w:t>
            </w:r>
          </w:p>
        </w:tc>
        <w:tc>
          <w:tcPr>
            <w:tcW w:w="737" w:type="dxa"/>
          </w:tcPr>
          <w:p w:rsidR="004B0023" w:rsidRDefault="004B0023">
            <w:pPr>
              <w:pStyle w:val="ConsPlusNormal"/>
              <w:jc w:val="center"/>
            </w:pPr>
            <w:r>
              <w:t>руб. с НДС</w:t>
            </w:r>
          </w:p>
        </w:tc>
        <w:tc>
          <w:tcPr>
            <w:tcW w:w="850" w:type="dxa"/>
          </w:tcPr>
          <w:p w:rsidR="004B0023" w:rsidRDefault="004B0023">
            <w:pPr>
              <w:pStyle w:val="ConsPlusNormal"/>
              <w:jc w:val="center"/>
            </w:pPr>
            <w:r>
              <w:t>%</w:t>
            </w:r>
          </w:p>
        </w:tc>
      </w:tr>
      <w:tr w:rsidR="004B0023">
        <w:tc>
          <w:tcPr>
            <w:tcW w:w="1361" w:type="dxa"/>
          </w:tcPr>
          <w:p w:rsidR="004B0023" w:rsidRDefault="004B0023">
            <w:pPr>
              <w:pStyle w:val="ConsPlusNormal"/>
              <w:jc w:val="center"/>
            </w:pPr>
            <w:r>
              <w:t>1</w:t>
            </w:r>
          </w:p>
        </w:tc>
        <w:tc>
          <w:tcPr>
            <w:tcW w:w="510" w:type="dxa"/>
          </w:tcPr>
          <w:p w:rsidR="004B0023" w:rsidRDefault="004B0023">
            <w:pPr>
              <w:pStyle w:val="ConsPlusNormal"/>
              <w:jc w:val="center"/>
            </w:pPr>
            <w:r>
              <w:t>2</w:t>
            </w:r>
          </w:p>
        </w:tc>
        <w:tc>
          <w:tcPr>
            <w:tcW w:w="794" w:type="dxa"/>
          </w:tcPr>
          <w:p w:rsidR="004B0023" w:rsidRDefault="004B0023">
            <w:pPr>
              <w:pStyle w:val="ConsPlusNormal"/>
              <w:jc w:val="center"/>
            </w:pPr>
            <w:r>
              <w:t>3</w:t>
            </w:r>
          </w:p>
        </w:tc>
        <w:tc>
          <w:tcPr>
            <w:tcW w:w="1020" w:type="dxa"/>
          </w:tcPr>
          <w:p w:rsidR="004B0023" w:rsidRDefault="004B0023">
            <w:pPr>
              <w:pStyle w:val="ConsPlusNormal"/>
              <w:jc w:val="center"/>
            </w:pPr>
            <w:r>
              <w:t>4</w:t>
            </w:r>
          </w:p>
        </w:tc>
        <w:tc>
          <w:tcPr>
            <w:tcW w:w="680" w:type="dxa"/>
          </w:tcPr>
          <w:p w:rsidR="004B0023" w:rsidRDefault="004B0023">
            <w:pPr>
              <w:pStyle w:val="ConsPlusNormal"/>
              <w:jc w:val="center"/>
            </w:pPr>
            <w:r>
              <w:t>5</w:t>
            </w:r>
          </w:p>
        </w:tc>
        <w:tc>
          <w:tcPr>
            <w:tcW w:w="567" w:type="dxa"/>
          </w:tcPr>
          <w:p w:rsidR="004B0023" w:rsidRDefault="004B0023">
            <w:pPr>
              <w:pStyle w:val="ConsPlusNormal"/>
              <w:jc w:val="center"/>
            </w:pPr>
            <w:r>
              <w:t>6</w:t>
            </w:r>
          </w:p>
        </w:tc>
        <w:tc>
          <w:tcPr>
            <w:tcW w:w="1304" w:type="dxa"/>
          </w:tcPr>
          <w:p w:rsidR="004B0023" w:rsidRDefault="004B0023">
            <w:pPr>
              <w:pStyle w:val="ConsPlusNormal"/>
              <w:jc w:val="center"/>
            </w:pPr>
            <w:r>
              <w:t>7</w:t>
            </w:r>
          </w:p>
        </w:tc>
        <w:tc>
          <w:tcPr>
            <w:tcW w:w="964" w:type="dxa"/>
          </w:tcPr>
          <w:p w:rsidR="004B0023" w:rsidRDefault="004B0023">
            <w:pPr>
              <w:pStyle w:val="ConsPlusNormal"/>
              <w:jc w:val="center"/>
            </w:pPr>
            <w:r>
              <w:t>8</w:t>
            </w:r>
          </w:p>
        </w:tc>
        <w:tc>
          <w:tcPr>
            <w:tcW w:w="794" w:type="dxa"/>
          </w:tcPr>
          <w:p w:rsidR="004B0023" w:rsidRDefault="004B0023">
            <w:pPr>
              <w:pStyle w:val="ConsPlusNormal"/>
              <w:jc w:val="center"/>
            </w:pPr>
            <w:r>
              <w:t>9 = 8 - 7</w:t>
            </w:r>
          </w:p>
        </w:tc>
        <w:tc>
          <w:tcPr>
            <w:tcW w:w="897" w:type="dxa"/>
          </w:tcPr>
          <w:p w:rsidR="004B0023" w:rsidRDefault="004B0023">
            <w:pPr>
              <w:pStyle w:val="ConsPlusNormal"/>
              <w:jc w:val="center"/>
            </w:pPr>
            <w:r>
              <w:t>10 = 9 / 7</w:t>
            </w:r>
          </w:p>
        </w:tc>
        <w:tc>
          <w:tcPr>
            <w:tcW w:w="737" w:type="dxa"/>
          </w:tcPr>
          <w:p w:rsidR="004B0023" w:rsidRDefault="004B0023">
            <w:pPr>
              <w:pStyle w:val="ConsPlusNormal"/>
              <w:jc w:val="center"/>
            </w:pPr>
            <w:r>
              <w:t>11 = 6 x 9</w:t>
            </w:r>
          </w:p>
        </w:tc>
        <w:tc>
          <w:tcPr>
            <w:tcW w:w="850" w:type="dxa"/>
          </w:tcPr>
          <w:p w:rsidR="004B0023" w:rsidRDefault="004B0023">
            <w:pPr>
              <w:pStyle w:val="ConsPlusNormal"/>
              <w:jc w:val="center"/>
            </w:pPr>
            <w:r>
              <w:t>12 = 11 / 1</w:t>
            </w:r>
          </w:p>
        </w:tc>
      </w:tr>
      <w:tr w:rsidR="004B0023">
        <w:tc>
          <w:tcPr>
            <w:tcW w:w="1361" w:type="dxa"/>
            <w:vMerge w:val="restart"/>
          </w:tcPr>
          <w:p w:rsidR="004B0023" w:rsidRDefault="004B0023">
            <w:pPr>
              <w:pStyle w:val="ConsPlusNormal"/>
            </w:pPr>
          </w:p>
        </w:tc>
        <w:tc>
          <w:tcPr>
            <w:tcW w:w="3571" w:type="dxa"/>
            <w:gridSpan w:val="5"/>
          </w:tcPr>
          <w:p w:rsidR="004B0023" w:rsidRDefault="004B0023">
            <w:pPr>
              <w:pStyle w:val="ConsPlusNormal"/>
            </w:pPr>
            <w:r>
              <w:t>Строительные материалы</w:t>
            </w:r>
          </w:p>
        </w:tc>
        <w:tc>
          <w:tcPr>
            <w:tcW w:w="1304" w:type="dxa"/>
          </w:tcPr>
          <w:p w:rsidR="004B0023" w:rsidRDefault="004B0023">
            <w:pPr>
              <w:pStyle w:val="ConsPlusNormal"/>
            </w:pPr>
          </w:p>
        </w:tc>
        <w:tc>
          <w:tcPr>
            <w:tcW w:w="964" w:type="dxa"/>
          </w:tcPr>
          <w:p w:rsidR="004B0023" w:rsidRDefault="004B0023">
            <w:pPr>
              <w:pStyle w:val="ConsPlusNormal"/>
            </w:pPr>
          </w:p>
        </w:tc>
        <w:tc>
          <w:tcPr>
            <w:tcW w:w="794" w:type="dxa"/>
          </w:tcPr>
          <w:p w:rsidR="004B0023" w:rsidRDefault="004B0023">
            <w:pPr>
              <w:pStyle w:val="ConsPlusNormal"/>
            </w:pPr>
          </w:p>
        </w:tc>
        <w:tc>
          <w:tcPr>
            <w:tcW w:w="897" w:type="dxa"/>
          </w:tcPr>
          <w:p w:rsidR="004B0023" w:rsidRDefault="004B0023">
            <w:pPr>
              <w:pStyle w:val="ConsPlusNormal"/>
            </w:pPr>
          </w:p>
        </w:tc>
        <w:tc>
          <w:tcPr>
            <w:tcW w:w="737" w:type="dxa"/>
          </w:tcPr>
          <w:p w:rsidR="004B0023" w:rsidRDefault="004B0023">
            <w:pPr>
              <w:pStyle w:val="ConsPlusNormal"/>
            </w:pPr>
          </w:p>
        </w:tc>
        <w:tc>
          <w:tcPr>
            <w:tcW w:w="850" w:type="dxa"/>
          </w:tcPr>
          <w:p w:rsidR="004B0023" w:rsidRDefault="004B0023">
            <w:pPr>
              <w:pStyle w:val="ConsPlusNormal"/>
            </w:pPr>
          </w:p>
        </w:tc>
      </w:tr>
      <w:tr w:rsidR="004B0023">
        <w:tc>
          <w:tcPr>
            <w:tcW w:w="1361" w:type="dxa"/>
            <w:vMerge/>
          </w:tcPr>
          <w:p w:rsidR="004B0023" w:rsidRDefault="004B0023"/>
        </w:tc>
        <w:tc>
          <w:tcPr>
            <w:tcW w:w="510" w:type="dxa"/>
          </w:tcPr>
          <w:p w:rsidR="004B0023" w:rsidRDefault="004B0023">
            <w:pPr>
              <w:pStyle w:val="ConsPlusNormal"/>
              <w:jc w:val="center"/>
            </w:pPr>
            <w:r>
              <w:t>1</w:t>
            </w:r>
          </w:p>
        </w:tc>
        <w:tc>
          <w:tcPr>
            <w:tcW w:w="794" w:type="dxa"/>
          </w:tcPr>
          <w:p w:rsidR="004B0023" w:rsidRDefault="004B0023">
            <w:pPr>
              <w:pStyle w:val="ConsPlusNormal"/>
            </w:pPr>
          </w:p>
        </w:tc>
        <w:tc>
          <w:tcPr>
            <w:tcW w:w="1020" w:type="dxa"/>
          </w:tcPr>
          <w:p w:rsidR="004B0023" w:rsidRDefault="004B0023">
            <w:pPr>
              <w:pStyle w:val="ConsPlusNormal"/>
            </w:pPr>
          </w:p>
        </w:tc>
        <w:tc>
          <w:tcPr>
            <w:tcW w:w="680" w:type="dxa"/>
          </w:tcPr>
          <w:p w:rsidR="004B0023" w:rsidRDefault="004B0023">
            <w:pPr>
              <w:pStyle w:val="ConsPlusNormal"/>
            </w:pPr>
          </w:p>
        </w:tc>
        <w:tc>
          <w:tcPr>
            <w:tcW w:w="567" w:type="dxa"/>
          </w:tcPr>
          <w:p w:rsidR="004B0023" w:rsidRDefault="004B0023">
            <w:pPr>
              <w:pStyle w:val="ConsPlusNormal"/>
            </w:pPr>
          </w:p>
        </w:tc>
        <w:tc>
          <w:tcPr>
            <w:tcW w:w="1304" w:type="dxa"/>
          </w:tcPr>
          <w:p w:rsidR="004B0023" w:rsidRDefault="004B0023">
            <w:pPr>
              <w:pStyle w:val="ConsPlusNormal"/>
            </w:pPr>
          </w:p>
        </w:tc>
        <w:tc>
          <w:tcPr>
            <w:tcW w:w="964" w:type="dxa"/>
          </w:tcPr>
          <w:p w:rsidR="004B0023" w:rsidRDefault="004B0023">
            <w:pPr>
              <w:pStyle w:val="ConsPlusNormal"/>
            </w:pPr>
          </w:p>
        </w:tc>
        <w:tc>
          <w:tcPr>
            <w:tcW w:w="794" w:type="dxa"/>
          </w:tcPr>
          <w:p w:rsidR="004B0023" w:rsidRDefault="004B0023">
            <w:pPr>
              <w:pStyle w:val="ConsPlusNormal"/>
            </w:pPr>
          </w:p>
        </w:tc>
        <w:tc>
          <w:tcPr>
            <w:tcW w:w="897" w:type="dxa"/>
          </w:tcPr>
          <w:p w:rsidR="004B0023" w:rsidRDefault="004B0023">
            <w:pPr>
              <w:pStyle w:val="ConsPlusNormal"/>
            </w:pPr>
          </w:p>
        </w:tc>
        <w:tc>
          <w:tcPr>
            <w:tcW w:w="737" w:type="dxa"/>
          </w:tcPr>
          <w:p w:rsidR="004B0023" w:rsidRDefault="004B0023">
            <w:pPr>
              <w:pStyle w:val="ConsPlusNormal"/>
            </w:pPr>
          </w:p>
        </w:tc>
        <w:tc>
          <w:tcPr>
            <w:tcW w:w="850" w:type="dxa"/>
          </w:tcPr>
          <w:p w:rsidR="004B0023" w:rsidRDefault="004B0023">
            <w:pPr>
              <w:pStyle w:val="ConsPlusNormal"/>
            </w:pPr>
          </w:p>
        </w:tc>
      </w:tr>
      <w:tr w:rsidR="004B0023">
        <w:tc>
          <w:tcPr>
            <w:tcW w:w="1361" w:type="dxa"/>
            <w:vMerge/>
          </w:tcPr>
          <w:p w:rsidR="004B0023" w:rsidRDefault="004B0023"/>
        </w:tc>
        <w:tc>
          <w:tcPr>
            <w:tcW w:w="510" w:type="dxa"/>
          </w:tcPr>
          <w:p w:rsidR="004B0023" w:rsidRDefault="004B0023">
            <w:pPr>
              <w:pStyle w:val="ConsPlusNormal"/>
              <w:jc w:val="center"/>
            </w:pPr>
            <w:r>
              <w:t>2</w:t>
            </w:r>
          </w:p>
        </w:tc>
        <w:tc>
          <w:tcPr>
            <w:tcW w:w="794" w:type="dxa"/>
          </w:tcPr>
          <w:p w:rsidR="004B0023" w:rsidRDefault="004B0023">
            <w:pPr>
              <w:pStyle w:val="ConsPlusNormal"/>
            </w:pPr>
          </w:p>
        </w:tc>
        <w:tc>
          <w:tcPr>
            <w:tcW w:w="1020" w:type="dxa"/>
          </w:tcPr>
          <w:p w:rsidR="004B0023" w:rsidRDefault="004B0023">
            <w:pPr>
              <w:pStyle w:val="ConsPlusNormal"/>
            </w:pPr>
          </w:p>
        </w:tc>
        <w:tc>
          <w:tcPr>
            <w:tcW w:w="680" w:type="dxa"/>
          </w:tcPr>
          <w:p w:rsidR="004B0023" w:rsidRDefault="004B0023">
            <w:pPr>
              <w:pStyle w:val="ConsPlusNormal"/>
            </w:pPr>
          </w:p>
        </w:tc>
        <w:tc>
          <w:tcPr>
            <w:tcW w:w="567" w:type="dxa"/>
          </w:tcPr>
          <w:p w:rsidR="004B0023" w:rsidRDefault="004B0023">
            <w:pPr>
              <w:pStyle w:val="ConsPlusNormal"/>
            </w:pPr>
          </w:p>
        </w:tc>
        <w:tc>
          <w:tcPr>
            <w:tcW w:w="1304" w:type="dxa"/>
          </w:tcPr>
          <w:p w:rsidR="004B0023" w:rsidRDefault="004B0023">
            <w:pPr>
              <w:pStyle w:val="ConsPlusNormal"/>
            </w:pPr>
          </w:p>
        </w:tc>
        <w:tc>
          <w:tcPr>
            <w:tcW w:w="964" w:type="dxa"/>
          </w:tcPr>
          <w:p w:rsidR="004B0023" w:rsidRDefault="004B0023">
            <w:pPr>
              <w:pStyle w:val="ConsPlusNormal"/>
            </w:pPr>
          </w:p>
        </w:tc>
        <w:tc>
          <w:tcPr>
            <w:tcW w:w="794" w:type="dxa"/>
          </w:tcPr>
          <w:p w:rsidR="004B0023" w:rsidRDefault="004B0023">
            <w:pPr>
              <w:pStyle w:val="ConsPlusNormal"/>
            </w:pPr>
          </w:p>
        </w:tc>
        <w:tc>
          <w:tcPr>
            <w:tcW w:w="897" w:type="dxa"/>
          </w:tcPr>
          <w:p w:rsidR="004B0023" w:rsidRDefault="004B0023">
            <w:pPr>
              <w:pStyle w:val="ConsPlusNormal"/>
            </w:pPr>
          </w:p>
        </w:tc>
        <w:tc>
          <w:tcPr>
            <w:tcW w:w="737" w:type="dxa"/>
          </w:tcPr>
          <w:p w:rsidR="004B0023" w:rsidRDefault="004B0023">
            <w:pPr>
              <w:pStyle w:val="ConsPlusNormal"/>
            </w:pPr>
          </w:p>
        </w:tc>
        <w:tc>
          <w:tcPr>
            <w:tcW w:w="850" w:type="dxa"/>
          </w:tcPr>
          <w:p w:rsidR="004B0023" w:rsidRDefault="004B0023">
            <w:pPr>
              <w:pStyle w:val="ConsPlusNormal"/>
            </w:pPr>
          </w:p>
        </w:tc>
      </w:tr>
      <w:tr w:rsidR="004B0023">
        <w:tc>
          <w:tcPr>
            <w:tcW w:w="1361" w:type="dxa"/>
            <w:vMerge/>
          </w:tcPr>
          <w:p w:rsidR="004B0023" w:rsidRDefault="004B0023"/>
        </w:tc>
        <w:tc>
          <w:tcPr>
            <w:tcW w:w="3571" w:type="dxa"/>
            <w:gridSpan w:val="5"/>
          </w:tcPr>
          <w:p w:rsidR="004B0023" w:rsidRDefault="004B0023">
            <w:pPr>
              <w:pStyle w:val="ConsPlusNormal"/>
            </w:pPr>
            <w:r>
              <w:t>Оборудование</w:t>
            </w:r>
          </w:p>
        </w:tc>
        <w:tc>
          <w:tcPr>
            <w:tcW w:w="1304" w:type="dxa"/>
          </w:tcPr>
          <w:p w:rsidR="004B0023" w:rsidRDefault="004B0023">
            <w:pPr>
              <w:pStyle w:val="ConsPlusNormal"/>
            </w:pPr>
          </w:p>
        </w:tc>
        <w:tc>
          <w:tcPr>
            <w:tcW w:w="964" w:type="dxa"/>
          </w:tcPr>
          <w:p w:rsidR="004B0023" w:rsidRDefault="004B0023">
            <w:pPr>
              <w:pStyle w:val="ConsPlusNormal"/>
            </w:pPr>
          </w:p>
        </w:tc>
        <w:tc>
          <w:tcPr>
            <w:tcW w:w="794" w:type="dxa"/>
          </w:tcPr>
          <w:p w:rsidR="004B0023" w:rsidRDefault="004B0023">
            <w:pPr>
              <w:pStyle w:val="ConsPlusNormal"/>
            </w:pPr>
          </w:p>
        </w:tc>
        <w:tc>
          <w:tcPr>
            <w:tcW w:w="897" w:type="dxa"/>
          </w:tcPr>
          <w:p w:rsidR="004B0023" w:rsidRDefault="004B0023">
            <w:pPr>
              <w:pStyle w:val="ConsPlusNormal"/>
            </w:pPr>
          </w:p>
        </w:tc>
        <w:tc>
          <w:tcPr>
            <w:tcW w:w="737" w:type="dxa"/>
          </w:tcPr>
          <w:p w:rsidR="004B0023" w:rsidRDefault="004B0023">
            <w:pPr>
              <w:pStyle w:val="ConsPlusNormal"/>
            </w:pPr>
          </w:p>
        </w:tc>
        <w:tc>
          <w:tcPr>
            <w:tcW w:w="850" w:type="dxa"/>
          </w:tcPr>
          <w:p w:rsidR="004B0023" w:rsidRDefault="004B0023">
            <w:pPr>
              <w:pStyle w:val="ConsPlusNormal"/>
            </w:pPr>
          </w:p>
        </w:tc>
      </w:tr>
      <w:tr w:rsidR="004B0023">
        <w:tc>
          <w:tcPr>
            <w:tcW w:w="1361" w:type="dxa"/>
            <w:vMerge/>
          </w:tcPr>
          <w:p w:rsidR="004B0023" w:rsidRDefault="004B0023"/>
        </w:tc>
        <w:tc>
          <w:tcPr>
            <w:tcW w:w="510" w:type="dxa"/>
          </w:tcPr>
          <w:p w:rsidR="004B0023" w:rsidRDefault="004B0023">
            <w:pPr>
              <w:pStyle w:val="ConsPlusNormal"/>
              <w:jc w:val="center"/>
            </w:pPr>
            <w:r>
              <w:t>1</w:t>
            </w:r>
          </w:p>
        </w:tc>
        <w:tc>
          <w:tcPr>
            <w:tcW w:w="794" w:type="dxa"/>
          </w:tcPr>
          <w:p w:rsidR="004B0023" w:rsidRDefault="004B0023">
            <w:pPr>
              <w:pStyle w:val="ConsPlusNormal"/>
            </w:pPr>
          </w:p>
        </w:tc>
        <w:tc>
          <w:tcPr>
            <w:tcW w:w="1020" w:type="dxa"/>
          </w:tcPr>
          <w:p w:rsidR="004B0023" w:rsidRDefault="004B0023">
            <w:pPr>
              <w:pStyle w:val="ConsPlusNormal"/>
            </w:pPr>
          </w:p>
        </w:tc>
        <w:tc>
          <w:tcPr>
            <w:tcW w:w="680" w:type="dxa"/>
          </w:tcPr>
          <w:p w:rsidR="004B0023" w:rsidRDefault="004B0023">
            <w:pPr>
              <w:pStyle w:val="ConsPlusNormal"/>
            </w:pPr>
          </w:p>
        </w:tc>
        <w:tc>
          <w:tcPr>
            <w:tcW w:w="567" w:type="dxa"/>
          </w:tcPr>
          <w:p w:rsidR="004B0023" w:rsidRDefault="004B0023">
            <w:pPr>
              <w:pStyle w:val="ConsPlusNormal"/>
            </w:pPr>
          </w:p>
        </w:tc>
        <w:tc>
          <w:tcPr>
            <w:tcW w:w="1304" w:type="dxa"/>
          </w:tcPr>
          <w:p w:rsidR="004B0023" w:rsidRDefault="004B0023">
            <w:pPr>
              <w:pStyle w:val="ConsPlusNormal"/>
            </w:pPr>
          </w:p>
        </w:tc>
        <w:tc>
          <w:tcPr>
            <w:tcW w:w="964" w:type="dxa"/>
          </w:tcPr>
          <w:p w:rsidR="004B0023" w:rsidRDefault="004B0023">
            <w:pPr>
              <w:pStyle w:val="ConsPlusNormal"/>
            </w:pPr>
          </w:p>
        </w:tc>
        <w:tc>
          <w:tcPr>
            <w:tcW w:w="794" w:type="dxa"/>
          </w:tcPr>
          <w:p w:rsidR="004B0023" w:rsidRDefault="004B0023">
            <w:pPr>
              <w:pStyle w:val="ConsPlusNormal"/>
            </w:pPr>
          </w:p>
        </w:tc>
        <w:tc>
          <w:tcPr>
            <w:tcW w:w="897" w:type="dxa"/>
          </w:tcPr>
          <w:p w:rsidR="004B0023" w:rsidRDefault="004B0023">
            <w:pPr>
              <w:pStyle w:val="ConsPlusNormal"/>
            </w:pPr>
          </w:p>
        </w:tc>
        <w:tc>
          <w:tcPr>
            <w:tcW w:w="737" w:type="dxa"/>
          </w:tcPr>
          <w:p w:rsidR="004B0023" w:rsidRDefault="004B0023">
            <w:pPr>
              <w:pStyle w:val="ConsPlusNormal"/>
            </w:pPr>
          </w:p>
        </w:tc>
        <w:tc>
          <w:tcPr>
            <w:tcW w:w="850" w:type="dxa"/>
          </w:tcPr>
          <w:p w:rsidR="004B0023" w:rsidRDefault="004B0023">
            <w:pPr>
              <w:pStyle w:val="ConsPlusNormal"/>
            </w:pPr>
          </w:p>
        </w:tc>
      </w:tr>
      <w:tr w:rsidR="004B0023">
        <w:tc>
          <w:tcPr>
            <w:tcW w:w="8891" w:type="dxa"/>
            <w:gridSpan w:val="10"/>
          </w:tcPr>
          <w:p w:rsidR="004B0023" w:rsidRDefault="004B0023">
            <w:pPr>
              <w:pStyle w:val="ConsPlusNormal"/>
              <w:jc w:val="right"/>
            </w:pPr>
            <w:r>
              <w:t>Итого, общее увеличение стоимости (</w:t>
            </w:r>
            <w:proofErr w:type="spellStart"/>
            <w:r>
              <w:t>С</w:t>
            </w:r>
            <w:r>
              <w:rPr>
                <w:vertAlign w:val="subscript"/>
              </w:rPr>
              <w:t>доп</w:t>
            </w:r>
            <w:proofErr w:type="spellEnd"/>
            <w:r>
              <w:t>)</w:t>
            </w:r>
          </w:p>
        </w:tc>
        <w:tc>
          <w:tcPr>
            <w:tcW w:w="737" w:type="dxa"/>
          </w:tcPr>
          <w:p w:rsidR="004B0023" w:rsidRDefault="004B0023">
            <w:pPr>
              <w:pStyle w:val="ConsPlusNormal"/>
            </w:pPr>
          </w:p>
        </w:tc>
        <w:tc>
          <w:tcPr>
            <w:tcW w:w="850" w:type="dxa"/>
          </w:tcPr>
          <w:p w:rsidR="004B0023" w:rsidRDefault="004B0023">
            <w:pPr>
              <w:pStyle w:val="ConsPlusNormal"/>
            </w:pPr>
          </w:p>
        </w:tc>
      </w:tr>
    </w:tbl>
    <w:p w:rsidR="004B0023" w:rsidRDefault="004B0023">
      <w:pPr>
        <w:sectPr w:rsidR="004B0023">
          <w:pgSz w:w="16838" w:h="11905" w:orient="landscape"/>
          <w:pgMar w:top="1701" w:right="1134" w:bottom="850" w:left="1134" w:header="0" w:footer="0" w:gutter="0"/>
          <w:cols w:space="720"/>
        </w:sectPr>
      </w:pPr>
    </w:p>
    <w:p w:rsidR="004B0023" w:rsidRDefault="004B00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B0023">
        <w:tc>
          <w:tcPr>
            <w:tcW w:w="9071" w:type="dxa"/>
            <w:tcBorders>
              <w:top w:val="nil"/>
              <w:left w:val="nil"/>
              <w:bottom w:val="nil"/>
              <w:right w:val="nil"/>
            </w:tcBorders>
          </w:tcPr>
          <w:p w:rsidR="004B0023" w:rsidRDefault="004B0023">
            <w:pPr>
              <w:pStyle w:val="ConsPlusNormal"/>
              <w:ind w:firstLine="283"/>
              <w:jc w:val="both"/>
            </w:pPr>
            <w:r>
              <w:t>--------------------------------</w:t>
            </w:r>
          </w:p>
          <w:p w:rsidR="004B0023" w:rsidRDefault="004B0023">
            <w:pPr>
              <w:pStyle w:val="ConsPlusNormal"/>
              <w:ind w:firstLine="283"/>
              <w:jc w:val="both"/>
            </w:pPr>
            <w:r>
              <w:t>&lt;*&gt; - определяется с учетом инфляционной составляющей, учитываемой при формировании начальной (максимальной) цены контракта и (или) проекта сметы контракта".</w:t>
            </w:r>
          </w:p>
        </w:tc>
      </w:tr>
    </w:tbl>
    <w:p w:rsidR="004B0023" w:rsidRDefault="004B002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624"/>
        <w:gridCol w:w="5443"/>
        <w:gridCol w:w="1417"/>
      </w:tblGrid>
      <w:tr w:rsidR="004B0023">
        <w:tc>
          <w:tcPr>
            <w:tcW w:w="1587" w:type="dxa"/>
            <w:tcBorders>
              <w:top w:val="nil"/>
              <w:left w:val="nil"/>
              <w:bottom w:val="nil"/>
              <w:right w:val="nil"/>
            </w:tcBorders>
          </w:tcPr>
          <w:p w:rsidR="004B0023" w:rsidRDefault="004B0023">
            <w:pPr>
              <w:pStyle w:val="ConsPlusNormal"/>
            </w:pPr>
            <w:r>
              <w:t>Заказчик</w:t>
            </w:r>
          </w:p>
        </w:tc>
        <w:tc>
          <w:tcPr>
            <w:tcW w:w="624" w:type="dxa"/>
            <w:tcBorders>
              <w:top w:val="nil"/>
              <w:left w:val="nil"/>
              <w:bottom w:val="nil"/>
              <w:right w:val="nil"/>
            </w:tcBorders>
          </w:tcPr>
          <w:p w:rsidR="004B0023" w:rsidRDefault="004B0023">
            <w:pPr>
              <w:pStyle w:val="ConsPlusNormal"/>
            </w:pPr>
          </w:p>
        </w:tc>
        <w:tc>
          <w:tcPr>
            <w:tcW w:w="5443" w:type="dxa"/>
            <w:tcBorders>
              <w:top w:val="nil"/>
              <w:left w:val="nil"/>
              <w:bottom w:val="single" w:sz="4" w:space="0" w:color="auto"/>
              <w:right w:val="nil"/>
            </w:tcBorders>
          </w:tcPr>
          <w:p w:rsidR="004B0023" w:rsidRDefault="004B0023">
            <w:pPr>
              <w:pStyle w:val="ConsPlusNormal"/>
            </w:pPr>
          </w:p>
        </w:tc>
        <w:tc>
          <w:tcPr>
            <w:tcW w:w="1417" w:type="dxa"/>
            <w:tcBorders>
              <w:top w:val="nil"/>
              <w:left w:val="nil"/>
              <w:bottom w:val="nil"/>
              <w:right w:val="nil"/>
            </w:tcBorders>
          </w:tcPr>
          <w:p w:rsidR="004B0023" w:rsidRDefault="004B0023">
            <w:pPr>
              <w:pStyle w:val="ConsPlusNormal"/>
            </w:pPr>
          </w:p>
        </w:tc>
      </w:tr>
      <w:tr w:rsidR="004B0023">
        <w:tc>
          <w:tcPr>
            <w:tcW w:w="1587" w:type="dxa"/>
            <w:tcBorders>
              <w:top w:val="nil"/>
              <w:left w:val="nil"/>
              <w:bottom w:val="nil"/>
              <w:right w:val="nil"/>
            </w:tcBorders>
          </w:tcPr>
          <w:p w:rsidR="004B0023" w:rsidRDefault="004B0023">
            <w:pPr>
              <w:pStyle w:val="ConsPlusNormal"/>
            </w:pPr>
          </w:p>
        </w:tc>
        <w:tc>
          <w:tcPr>
            <w:tcW w:w="624" w:type="dxa"/>
            <w:tcBorders>
              <w:top w:val="nil"/>
              <w:left w:val="nil"/>
              <w:bottom w:val="nil"/>
              <w:right w:val="nil"/>
            </w:tcBorders>
          </w:tcPr>
          <w:p w:rsidR="004B0023" w:rsidRDefault="004B0023">
            <w:pPr>
              <w:pStyle w:val="ConsPlusNormal"/>
            </w:pPr>
          </w:p>
        </w:tc>
        <w:tc>
          <w:tcPr>
            <w:tcW w:w="5443" w:type="dxa"/>
            <w:tcBorders>
              <w:top w:val="single" w:sz="4" w:space="0" w:color="auto"/>
              <w:left w:val="nil"/>
              <w:bottom w:val="nil"/>
              <w:right w:val="nil"/>
            </w:tcBorders>
            <w:vAlign w:val="center"/>
          </w:tcPr>
          <w:p w:rsidR="004B0023" w:rsidRDefault="004B0023">
            <w:pPr>
              <w:pStyle w:val="ConsPlusNormal"/>
              <w:jc w:val="center"/>
            </w:pPr>
            <w:r>
              <w:t>(должность, подпись, инициалы, фамилия)</w:t>
            </w:r>
          </w:p>
        </w:tc>
        <w:tc>
          <w:tcPr>
            <w:tcW w:w="1417" w:type="dxa"/>
            <w:tcBorders>
              <w:top w:val="nil"/>
              <w:left w:val="nil"/>
              <w:bottom w:val="nil"/>
              <w:right w:val="nil"/>
            </w:tcBorders>
            <w:vAlign w:val="center"/>
          </w:tcPr>
          <w:p w:rsidR="004B0023" w:rsidRDefault="004B0023">
            <w:pPr>
              <w:pStyle w:val="ConsPlusNormal"/>
            </w:pPr>
          </w:p>
        </w:tc>
      </w:tr>
      <w:tr w:rsidR="004B0023">
        <w:tc>
          <w:tcPr>
            <w:tcW w:w="1587" w:type="dxa"/>
            <w:tcBorders>
              <w:top w:val="nil"/>
              <w:left w:val="nil"/>
              <w:bottom w:val="nil"/>
              <w:right w:val="nil"/>
            </w:tcBorders>
          </w:tcPr>
          <w:p w:rsidR="004B0023" w:rsidRDefault="004B0023">
            <w:pPr>
              <w:pStyle w:val="ConsPlusNormal"/>
            </w:pPr>
            <w:r>
              <w:t>Подрядчик</w:t>
            </w:r>
          </w:p>
        </w:tc>
        <w:tc>
          <w:tcPr>
            <w:tcW w:w="624" w:type="dxa"/>
            <w:tcBorders>
              <w:top w:val="nil"/>
              <w:left w:val="nil"/>
              <w:bottom w:val="nil"/>
              <w:right w:val="nil"/>
            </w:tcBorders>
          </w:tcPr>
          <w:p w:rsidR="004B0023" w:rsidRDefault="004B0023">
            <w:pPr>
              <w:pStyle w:val="ConsPlusNormal"/>
            </w:pPr>
          </w:p>
        </w:tc>
        <w:tc>
          <w:tcPr>
            <w:tcW w:w="5443" w:type="dxa"/>
            <w:tcBorders>
              <w:top w:val="nil"/>
              <w:left w:val="nil"/>
              <w:bottom w:val="single" w:sz="4" w:space="0" w:color="auto"/>
              <w:right w:val="nil"/>
            </w:tcBorders>
          </w:tcPr>
          <w:p w:rsidR="004B0023" w:rsidRDefault="004B0023">
            <w:pPr>
              <w:pStyle w:val="ConsPlusNormal"/>
            </w:pPr>
          </w:p>
        </w:tc>
        <w:tc>
          <w:tcPr>
            <w:tcW w:w="1417" w:type="dxa"/>
            <w:tcBorders>
              <w:top w:val="nil"/>
              <w:left w:val="nil"/>
              <w:bottom w:val="nil"/>
              <w:right w:val="nil"/>
            </w:tcBorders>
          </w:tcPr>
          <w:p w:rsidR="004B0023" w:rsidRDefault="004B0023">
            <w:pPr>
              <w:pStyle w:val="ConsPlusNormal"/>
            </w:pPr>
          </w:p>
        </w:tc>
      </w:tr>
      <w:tr w:rsidR="004B0023">
        <w:tc>
          <w:tcPr>
            <w:tcW w:w="1587" w:type="dxa"/>
            <w:tcBorders>
              <w:top w:val="nil"/>
              <w:left w:val="nil"/>
              <w:bottom w:val="nil"/>
              <w:right w:val="nil"/>
            </w:tcBorders>
          </w:tcPr>
          <w:p w:rsidR="004B0023" w:rsidRDefault="004B0023">
            <w:pPr>
              <w:pStyle w:val="ConsPlusNormal"/>
            </w:pPr>
          </w:p>
        </w:tc>
        <w:tc>
          <w:tcPr>
            <w:tcW w:w="624" w:type="dxa"/>
            <w:tcBorders>
              <w:top w:val="nil"/>
              <w:left w:val="nil"/>
              <w:bottom w:val="nil"/>
              <w:right w:val="nil"/>
            </w:tcBorders>
          </w:tcPr>
          <w:p w:rsidR="004B0023" w:rsidRDefault="004B0023">
            <w:pPr>
              <w:pStyle w:val="ConsPlusNormal"/>
            </w:pPr>
          </w:p>
        </w:tc>
        <w:tc>
          <w:tcPr>
            <w:tcW w:w="5443" w:type="dxa"/>
            <w:tcBorders>
              <w:top w:val="single" w:sz="4" w:space="0" w:color="auto"/>
              <w:left w:val="nil"/>
              <w:bottom w:val="nil"/>
              <w:right w:val="nil"/>
            </w:tcBorders>
            <w:vAlign w:val="bottom"/>
          </w:tcPr>
          <w:p w:rsidR="004B0023" w:rsidRDefault="004B0023">
            <w:pPr>
              <w:pStyle w:val="ConsPlusNormal"/>
              <w:jc w:val="center"/>
            </w:pPr>
            <w:r>
              <w:t>(должность, подпись, инициалы, фамилия)</w:t>
            </w:r>
          </w:p>
        </w:tc>
        <w:tc>
          <w:tcPr>
            <w:tcW w:w="1417" w:type="dxa"/>
            <w:tcBorders>
              <w:top w:val="nil"/>
              <w:left w:val="nil"/>
              <w:bottom w:val="nil"/>
              <w:right w:val="nil"/>
            </w:tcBorders>
            <w:vAlign w:val="bottom"/>
          </w:tcPr>
          <w:p w:rsidR="004B0023" w:rsidRDefault="004B0023">
            <w:pPr>
              <w:pStyle w:val="ConsPlusNormal"/>
            </w:pPr>
          </w:p>
        </w:tc>
      </w:tr>
      <w:tr w:rsidR="004B0023">
        <w:tc>
          <w:tcPr>
            <w:tcW w:w="1587" w:type="dxa"/>
            <w:tcBorders>
              <w:top w:val="nil"/>
              <w:left w:val="nil"/>
              <w:bottom w:val="nil"/>
              <w:right w:val="nil"/>
            </w:tcBorders>
          </w:tcPr>
          <w:p w:rsidR="004B0023" w:rsidRDefault="004B0023">
            <w:pPr>
              <w:pStyle w:val="ConsPlusNormal"/>
            </w:pPr>
          </w:p>
        </w:tc>
        <w:tc>
          <w:tcPr>
            <w:tcW w:w="624" w:type="dxa"/>
            <w:tcBorders>
              <w:top w:val="nil"/>
              <w:left w:val="nil"/>
              <w:bottom w:val="nil"/>
              <w:right w:val="nil"/>
            </w:tcBorders>
          </w:tcPr>
          <w:p w:rsidR="004B0023" w:rsidRDefault="004B0023">
            <w:pPr>
              <w:pStyle w:val="ConsPlusNormal"/>
            </w:pPr>
          </w:p>
        </w:tc>
        <w:tc>
          <w:tcPr>
            <w:tcW w:w="5443" w:type="dxa"/>
            <w:tcBorders>
              <w:top w:val="nil"/>
              <w:left w:val="nil"/>
              <w:bottom w:val="single" w:sz="4" w:space="0" w:color="auto"/>
              <w:right w:val="nil"/>
            </w:tcBorders>
          </w:tcPr>
          <w:p w:rsidR="004B0023" w:rsidRDefault="004B0023">
            <w:pPr>
              <w:pStyle w:val="ConsPlusNormal"/>
            </w:pPr>
          </w:p>
        </w:tc>
        <w:tc>
          <w:tcPr>
            <w:tcW w:w="1417" w:type="dxa"/>
            <w:tcBorders>
              <w:top w:val="nil"/>
              <w:left w:val="nil"/>
              <w:bottom w:val="nil"/>
              <w:right w:val="nil"/>
            </w:tcBorders>
          </w:tcPr>
          <w:p w:rsidR="004B0023" w:rsidRDefault="004B0023">
            <w:pPr>
              <w:pStyle w:val="ConsPlusNormal"/>
            </w:pPr>
            <w:r>
              <w:t>".</w:t>
            </w:r>
          </w:p>
        </w:tc>
      </w:tr>
    </w:tbl>
    <w:p w:rsidR="004B0023" w:rsidRDefault="004B0023">
      <w:pPr>
        <w:pStyle w:val="ConsPlusNormal"/>
        <w:jc w:val="both"/>
      </w:pPr>
    </w:p>
    <w:p w:rsidR="004B0023" w:rsidRDefault="004B0023">
      <w:pPr>
        <w:pStyle w:val="ConsPlusNormal"/>
        <w:jc w:val="both"/>
      </w:pPr>
    </w:p>
    <w:p w:rsidR="004B0023" w:rsidRDefault="004B0023">
      <w:pPr>
        <w:pStyle w:val="ConsPlusNormal"/>
        <w:pBdr>
          <w:top w:val="single" w:sz="6" w:space="0" w:color="auto"/>
        </w:pBdr>
        <w:spacing w:before="100" w:after="100"/>
        <w:jc w:val="both"/>
        <w:rPr>
          <w:sz w:val="2"/>
          <w:szCs w:val="2"/>
        </w:rPr>
      </w:pPr>
    </w:p>
    <w:p w:rsidR="000B72A6" w:rsidRDefault="000B72A6"/>
    <w:sectPr w:rsidR="000B72A6" w:rsidSect="00A5403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023"/>
    <w:rsid w:val="000B72A6"/>
    <w:rsid w:val="004B0023"/>
    <w:rsid w:val="00D52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A1EA4"/>
  <w15:chartTrackingRefBased/>
  <w15:docId w15:val="{E5238724-A1F6-4D81-BE7A-A82111E0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00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00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00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4140</Words>
  <Characters>23603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Карим Гариб Сальманович</dc:creator>
  <cp:keywords/>
  <dc:description/>
  <cp:lastModifiedBy>Карим Гариб Сальманович</cp:lastModifiedBy>
  <cp:revision>2</cp:revision>
  <dcterms:created xsi:type="dcterms:W3CDTF">2021-08-17T07:59:00Z</dcterms:created>
  <dcterms:modified xsi:type="dcterms:W3CDTF">2021-08-17T08:01:00Z</dcterms:modified>
</cp:coreProperties>
</file>